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0F2" w:rsidRDefault="00507C44">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Developing Teacher Capacity for Effective Integration of Technology in Secondary School Curriculum</w:t>
      </w:r>
    </w:p>
    <w:p w:rsidR="008960F2" w:rsidRDefault="00ED6B4F">
      <w:pPr>
        <w:jc w:val="center"/>
        <w:rPr>
          <w:rFonts w:ascii="Times New Roman" w:hAnsi="Times New Roman" w:cs="Times New Roman"/>
          <w:b/>
          <w:sz w:val="24"/>
          <w:szCs w:val="24"/>
        </w:rPr>
      </w:pPr>
      <w:r>
        <w:rPr>
          <w:rFonts w:ascii="Times New Roman" w:eastAsia="Times New Roman" w:hAnsi="Times New Roman" w:cs="Times New Roman"/>
          <w:b/>
          <w:bCs/>
          <w:kern w:val="36"/>
          <w:sz w:val="24"/>
          <w:szCs w:val="24"/>
        </w:rPr>
        <w:t>Payment Pending</w:t>
      </w:r>
      <w:bookmarkStart w:id="0" w:name="_GoBack"/>
      <w:bookmarkEnd w:id="0"/>
    </w:p>
    <w:p w:rsidR="008960F2" w:rsidRDefault="00507C44">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rsidR="008960F2" w:rsidRDefault="00507C44">
      <w:pPr>
        <w:spacing w:before="100" w:beforeAutospacing="1" w:after="100" w:afterAutospacing="1"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 integration of technology into the secondary school curriculum is critical for preparing students for the 21st-century workforce and fostering engaging learning environments. However, the efficacy of this integration is fundamentally dependent on the </w:t>
      </w:r>
      <w:r>
        <w:rPr>
          <w:rFonts w:ascii="Times New Roman" w:eastAsia="Times New Roman" w:hAnsi="Times New Roman" w:cs="Times New Roman"/>
          <w:bCs/>
          <w:i/>
          <w:sz w:val="24"/>
          <w:szCs w:val="24"/>
        </w:rPr>
        <w:t>capacity of teachers</w:t>
      </w:r>
      <w:r>
        <w:rPr>
          <w:rFonts w:ascii="Times New Roman" w:eastAsia="Times New Roman" w:hAnsi="Times New Roman" w:cs="Times New Roman"/>
          <w:i/>
          <w:sz w:val="24"/>
          <w:szCs w:val="24"/>
        </w:rPr>
        <w:t xml:space="preserve"> to use technology not merely as a supplement, but as a transformative tool for pedagogy. This paper explores the crucial concept of developing teacher capacity, primarily through the lens of the </w:t>
      </w:r>
      <w:r>
        <w:rPr>
          <w:rFonts w:ascii="Times New Roman" w:eastAsia="Times New Roman" w:hAnsi="Times New Roman" w:cs="Times New Roman"/>
          <w:bCs/>
          <w:i/>
          <w:sz w:val="24"/>
          <w:szCs w:val="24"/>
        </w:rPr>
        <w:t>Technological, Pedagogical, and Content Knowledge (TPACK)</w:t>
      </w:r>
      <w:r>
        <w:rPr>
          <w:rFonts w:ascii="Times New Roman" w:eastAsia="Times New Roman" w:hAnsi="Times New Roman" w:cs="Times New Roman"/>
          <w:i/>
          <w:sz w:val="24"/>
          <w:szCs w:val="24"/>
        </w:rPr>
        <w:t xml:space="preserve"> framework. It reviews existing literature on the benefits and barriers to technology integration, highlighting the persistent challenges of inadequate professional development, resource constraints, and teacher reluctance. The paper proposes a comprehensive, continuous, and context-specific professional development model that emphasizes </w:t>
      </w:r>
      <w:r>
        <w:rPr>
          <w:rFonts w:ascii="Times New Roman" w:eastAsia="Times New Roman" w:hAnsi="Times New Roman" w:cs="Times New Roman"/>
          <w:bCs/>
          <w:i/>
          <w:sz w:val="24"/>
          <w:szCs w:val="24"/>
        </w:rPr>
        <w:t>active learning, collaboration, and sustained expert coaching</w:t>
      </w:r>
      <w:r>
        <w:rPr>
          <w:rFonts w:ascii="Times New Roman" w:eastAsia="Times New Roman" w:hAnsi="Times New Roman" w:cs="Times New Roman"/>
          <w:i/>
          <w:sz w:val="24"/>
          <w:szCs w:val="24"/>
        </w:rPr>
        <w:t xml:space="preserve"> as essential components for building teacher capacity. Recommendations focus on policy, leadership, and resource allocation to ensure that technology integration moves from mere presence to genuine, effective curricular practice in secondary schools.</w:t>
      </w:r>
    </w:p>
    <w:p w:rsidR="008960F2" w:rsidRDefault="00507C44">
      <w:pPr>
        <w:spacing w:before="100" w:beforeAutospacing="1" w:after="100" w:afterAutospacing="1" w:line="240" w:lineRule="auto"/>
        <w:jc w:val="both"/>
        <w:outlineLvl w:val="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Key Words: </w:t>
      </w:r>
      <w:r>
        <w:rPr>
          <w:rFonts w:ascii="Times New Roman" w:eastAsia="Times New Roman" w:hAnsi="Times New Roman" w:cs="Times New Roman"/>
          <w:bCs/>
          <w:kern w:val="36"/>
          <w:sz w:val="24"/>
          <w:szCs w:val="24"/>
        </w:rPr>
        <w:t>Teacher Capacity, Effective Integration, Technology, Curriculum.</w:t>
      </w:r>
    </w:p>
    <w:p w:rsidR="008960F2" w:rsidRDefault="008960F2">
      <w:pPr>
        <w:spacing w:before="100" w:beforeAutospacing="1" w:after="100" w:afterAutospacing="1" w:line="240" w:lineRule="auto"/>
        <w:jc w:val="both"/>
        <w:outlineLvl w:val="1"/>
        <w:rPr>
          <w:rFonts w:ascii="Times New Roman" w:eastAsia="Times New Roman" w:hAnsi="Times New Roman" w:cs="Times New Roman"/>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8960F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8960F2" w:rsidRDefault="00507C44">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rsidR="008960F2" w:rsidRDefault="00507C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rapid advancement of digital technology has irrevocably changed global society, making it imperative for educational systems to adapt. In secondary schools, technology integration is no longer optional; it is a necessity for equipping students with essential skills such as </w:t>
      </w:r>
      <w:r>
        <w:rPr>
          <w:rFonts w:ascii="Times New Roman" w:eastAsia="Times New Roman" w:hAnsi="Times New Roman" w:cs="Times New Roman"/>
          <w:bCs/>
          <w:sz w:val="24"/>
          <w:szCs w:val="24"/>
        </w:rPr>
        <w:t>critical thinking, digital literacy, problem-solving, and collaboration</w:t>
      </w:r>
      <w:r>
        <w:rPr>
          <w:rFonts w:ascii="Times New Roman" w:eastAsia="Times New Roman" w:hAnsi="Times New Roman" w:cs="Times New Roman"/>
          <w:sz w:val="24"/>
          <w:szCs w:val="24"/>
        </w:rPr>
        <w:t xml:space="preserve">. Despite significant investment in hardware and infrastructure, the actual </w:t>
      </w:r>
      <w:r>
        <w:rPr>
          <w:rFonts w:ascii="Times New Roman" w:eastAsia="Times New Roman" w:hAnsi="Times New Roman" w:cs="Times New Roman"/>
          <w:i/>
          <w:iCs/>
          <w:sz w:val="24"/>
          <w:szCs w:val="24"/>
        </w:rPr>
        <w:t>effective</w:t>
      </w:r>
      <w:r>
        <w:rPr>
          <w:rFonts w:ascii="Times New Roman" w:eastAsia="Times New Roman" w:hAnsi="Times New Roman" w:cs="Times New Roman"/>
          <w:sz w:val="24"/>
          <w:szCs w:val="24"/>
        </w:rPr>
        <w:t xml:space="preserve"> integration of technology—where it leads to enhanced teaching and learning outcomes—remains a persistent challenge (Cuban, Kirkpatrick, &amp; Peck, 2021). The core issue is not the technology itself, but the </w:t>
      </w:r>
      <w:r>
        <w:rPr>
          <w:rFonts w:ascii="Times New Roman" w:eastAsia="Times New Roman" w:hAnsi="Times New Roman" w:cs="Times New Roman"/>
          <w:bCs/>
          <w:sz w:val="24"/>
          <w:szCs w:val="24"/>
        </w:rPr>
        <w:t>capacity of the teachers</w:t>
      </w:r>
      <w:r>
        <w:rPr>
          <w:rFonts w:ascii="Times New Roman" w:eastAsia="Times New Roman" w:hAnsi="Times New Roman" w:cs="Times New Roman"/>
          <w:sz w:val="24"/>
          <w:szCs w:val="24"/>
        </w:rPr>
        <w:t xml:space="preserve"> who must skillfully weave these tools into their subject-matter curriculum and pedagogical practices. Teacher education is the process of equipping prospective and current teachers with the necessary knowledge, skills, and attitudes to be effective educators through programs, policies, and professional development. (Mishra &amp; Koehler, 2006). This paper argues that building teacher capacity is the most critical factor for successful technology integration in the secondary school curriculum. This capacity encompasses not just technical skill, but a sophisticated understanding of how technology can enhance and transform learning across different subjects. This paper will define the concept of teacher capacity for technology integration, review the theoretical framework for development, analyze the major barriers, and propose actionable recommendations for sustainable growth.</w:t>
      </w:r>
    </w:p>
    <w:p w:rsidR="008960F2" w:rsidRDefault="00507C44">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Concept of Teacher Capacity</w:t>
      </w:r>
    </w:p>
    <w:p w:rsidR="008960F2" w:rsidRDefault="00507C44">
      <w:pPr>
        <w:jc w:val="both"/>
        <w:rPr>
          <w:rFonts w:ascii="Times New Roman" w:eastAsia="Times New Roman" w:hAnsi="Times New Roman" w:cs="Times New Roman"/>
          <w:sz w:val="24"/>
          <w:szCs w:val="24"/>
        </w:rPr>
      </w:pPr>
      <w:r>
        <w:t>Teacher capacity refers to a teacher's ability to be effective in the classroom</w:t>
      </w:r>
      <w:r>
        <w:rPr>
          <w:rFonts w:ascii="Arial" w:hAnsi="Arial" w:cs="Arial"/>
          <w:color w:val="0A0A0A"/>
          <w:shd w:val="clear" w:color="auto" w:fill="FFFFFF"/>
        </w:rPr>
        <w:t>, which is built through ongoing professional development to improve their knowledge, skills, and professional practices. This development is a systematic process that helps teachers stay current with curriculum, new teaching methods, and technology, ultimately improving student learning outcomes.</w:t>
      </w:r>
      <w:r>
        <w:rPr>
          <w:rStyle w:val="vkekvd"/>
          <w:rFonts w:ascii="Arial" w:hAnsi="Arial" w:cs="Arial"/>
          <w:color w:val="0A0A0A"/>
          <w:shd w:val="clear" w:color="auto" w:fill="FFFFFF"/>
        </w:rPr>
        <w:t> </w:t>
      </w:r>
      <w:r>
        <w:rPr>
          <w:rFonts w:ascii="Times New Roman" w:eastAsia="Times New Roman" w:hAnsi="Times New Roman" w:cs="Times New Roman"/>
          <w:sz w:val="24"/>
          <w:szCs w:val="24"/>
        </w:rPr>
        <w:t>. (Mishra &amp; Koehler, 2006).</w:t>
      </w:r>
    </w:p>
    <w:p w:rsidR="008960F2" w:rsidRDefault="00507C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 capacity for technology integration extends far beyond basic technical proficiency the simple ability to operate a device, navigate software, or troubleshoot common digital issues. Instead, it is a multifaceted construct that encompasses a rich blend of technological knowledge, pedagogical expertise, and subject-matter understanding. It also includes the attitudes, beliefs, and dispositions that shape how teachers perceive technology’s role in teaching and learning. Building this capacity means equipping teachers with the ability to make informed instructional design decisions, selecting and using digital tools in ways that meaningfully enhance rather than merely supplement traditional instruction. When teachers develop this holistic capacity, they are able to leverage technology to promote deeper cognitive engagement, support diverse learners, foster </w:t>
      </w:r>
      <w:r>
        <w:rPr>
          <w:rFonts w:ascii="Times New Roman" w:eastAsia="Times New Roman" w:hAnsi="Times New Roman" w:cs="Times New Roman"/>
          <w:sz w:val="24"/>
          <w:szCs w:val="24"/>
        </w:rPr>
        <w:lastRenderedPageBreak/>
        <w:t>collaboration, and ultimately transform classroom experiences to improve student learning outcomes.(Ertmer, 2005).</w:t>
      </w:r>
    </w:p>
    <w:p w:rsidR="008960F2" w:rsidRDefault="008960F2">
      <w:pPr>
        <w:rPr>
          <w:rFonts w:ascii="Times New Roman" w:eastAsia="Times New Roman" w:hAnsi="Times New Roman" w:cs="Times New Roman"/>
          <w:b/>
          <w:bCs/>
          <w:sz w:val="24"/>
          <w:szCs w:val="24"/>
        </w:rPr>
      </w:pPr>
    </w:p>
    <w:p w:rsidR="008960F2" w:rsidRDefault="00507C4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TPACK Framework</w:t>
      </w:r>
    </w:p>
    <w:p w:rsidR="008960F2" w:rsidRDefault="00507C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widely accepted framework for conceptualizing the knowledge required for effective technology integration is the Technological, Pedagogical, and Content Knowledge (TPACK) framework. TPACK provides a comprehensive lens for understanding how teachers must blend their knowledge of subject matter, instructional strategies, and digital tools to design meaningful learning experiences. Rather than viewing technology as an add-on, the framework emphasizes the dynamic interplay between these domains, highlighting that effective technology integration occurs when teachers can thoughtfully align what they teach, how they teach, and the technologies that best support learning. As such, TPACK serves as a foundational model for assessing and developing teacher competence in 21st-century classrooms. (Mishra &amp; Koehler, 2006).</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TPACK posits that effective technology integration occurs at the intersection of three primary knowledge domains:</w:t>
      </w:r>
    </w:p>
    <w:p w:rsidR="008960F2" w:rsidRDefault="00507C4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Content Knowledge (CK):</w:t>
      </w:r>
      <w:r>
        <w:rPr>
          <w:rFonts w:ascii="Times New Roman" w:eastAsia="Times New Roman" w:hAnsi="Times New Roman" w:cs="Times New Roman"/>
          <w:sz w:val="24"/>
          <w:szCs w:val="24"/>
        </w:rPr>
        <w:t xml:space="preserve"> Deep knowledge of the subject matter taught.</w:t>
      </w:r>
    </w:p>
    <w:p w:rsidR="008960F2" w:rsidRDefault="00507C4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Pedagogical Knowledge (PK):</w:t>
      </w:r>
      <w:r>
        <w:rPr>
          <w:rFonts w:ascii="Times New Roman" w:eastAsia="Times New Roman" w:hAnsi="Times New Roman" w:cs="Times New Roman"/>
          <w:sz w:val="24"/>
          <w:szCs w:val="24"/>
        </w:rPr>
        <w:t xml:space="preserve"> Deep knowledge of teaching and learning methods, classroom management, and student assessment.</w:t>
      </w:r>
    </w:p>
    <w:p w:rsidR="008960F2" w:rsidRDefault="00507C4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Technological Knowledge (TK):</w:t>
      </w:r>
      <w:r>
        <w:rPr>
          <w:rFonts w:ascii="Times New Roman" w:eastAsia="Times New Roman" w:hAnsi="Times New Roman" w:cs="Times New Roman"/>
          <w:sz w:val="24"/>
          <w:szCs w:val="24"/>
        </w:rPr>
        <w:t xml:space="preserve"> Knowledge of various digital tools, resources, and technologies.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true value of TPACK lies in the intersectional knowledge:</w:t>
      </w:r>
    </w:p>
    <w:p w:rsidR="008960F2" w:rsidRDefault="00507C4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Technological Content Knowledge (TCK):</w:t>
      </w:r>
      <w:r>
        <w:rPr>
          <w:rFonts w:ascii="Times New Roman" w:eastAsia="Times New Roman" w:hAnsi="Times New Roman" w:cs="Times New Roman"/>
          <w:sz w:val="24"/>
          <w:szCs w:val="24"/>
        </w:rPr>
        <w:t xml:space="preserve"> Knowing which technologies are best for representing specific subject matter content.</w:t>
      </w:r>
    </w:p>
    <w:p w:rsidR="008960F2" w:rsidRDefault="00507C4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Pedagogical Content Knowledge (PCK):</w:t>
      </w:r>
      <w:r>
        <w:rPr>
          <w:rFonts w:ascii="Times New Roman" w:eastAsia="Times New Roman" w:hAnsi="Times New Roman" w:cs="Times New Roman"/>
          <w:sz w:val="24"/>
          <w:szCs w:val="24"/>
        </w:rPr>
        <w:t xml:space="preserve"> Knowing how to teach specific content (e.g., using inquiry-based methods for a science topic).</w:t>
      </w:r>
    </w:p>
    <w:p w:rsidR="008960F2" w:rsidRDefault="00507C4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Technological Pedagogical Knowledge (TPK):</w:t>
      </w:r>
      <w:r>
        <w:rPr>
          <w:rFonts w:ascii="Times New Roman" w:eastAsia="Times New Roman" w:hAnsi="Times New Roman" w:cs="Times New Roman"/>
          <w:sz w:val="24"/>
          <w:szCs w:val="24"/>
        </w:rPr>
        <w:t xml:space="preserve"> Knowing how different technologies can change teaching and learning processes (e.g., using a learning management system for flipped lessons).</w:t>
      </w:r>
    </w:p>
    <w:p w:rsidR="008960F2" w:rsidRDefault="00507C4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TPACK:</w:t>
      </w:r>
      <w:r>
        <w:rPr>
          <w:rFonts w:ascii="Times New Roman" w:eastAsia="Times New Roman" w:hAnsi="Times New Roman" w:cs="Times New Roman"/>
          <w:sz w:val="24"/>
          <w:szCs w:val="24"/>
        </w:rPr>
        <w:t xml:space="preserve"> The holistic and nuanced understanding of how technology, pedagogy, and content interact to create powerful learning experiences.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teacher capacity is essentially the process of advancing a teacher's knowledge across all domains of the TPACK framework, with a specific focus on the intersectional knowledge.</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Benefits of Effective Technology Integration</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teachers possess a high level of TPACK, technology integration can lead to:</w:t>
      </w:r>
    </w:p>
    <w:p w:rsidR="008960F2" w:rsidRDefault="00507C4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Enhanced Student Engagement:</w:t>
      </w:r>
      <w:r>
        <w:rPr>
          <w:rFonts w:ascii="Times New Roman" w:eastAsia="Times New Roman" w:hAnsi="Times New Roman" w:cs="Times New Roman"/>
          <w:sz w:val="24"/>
          <w:szCs w:val="24"/>
        </w:rPr>
        <w:t xml:space="preserve"> Interactive simulations, gamification, and multimedia resources capture student interest more effectively (Sawang, O’Connor, &amp; Ali, 2017).</w:t>
      </w:r>
    </w:p>
    <w:p w:rsidR="008960F2" w:rsidRDefault="00507C4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Personalized Learning:</w:t>
      </w:r>
      <w:r>
        <w:rPr>
          <w:rFonts w:ascii="Times New Roman" w:eastAsia="Times New Roman" w:hAnsi="Times New Roman" w:cs="Times New Roman"/>
          <w:sz w:val="24"/>
          <w:szCs w:val="24"/>
        </w:rPr>
        <w:t xml:space="preserve"> Tools allow teachers to differentiate instruction and assessment, catering to individual learning rates and styles (NEA, 2008).</w:t>
      </w:r>
    </w:p>
    <w:p w:rsidR="008960F2" w:rsidRDefault="00507C4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Development of 21st-Century Skills:</w:t>
      </w:r>
      <w:r>
        <w:rPr>
          <w:rFonts w:ascii="Times New Roman" w:eastAsia="Times New Roman" w:hAnsi="Times New Roman" w:cs="Times New Roman"/>
          <w:sz w:val="24"/>
          <w:szCs w:val="24"/>
        </w:rPr>
        <w:t xml:space="preserve"> Technology facilitates project-based learning, research, and collaborative work, fostering skills like computational thinking and logical reasoning (Edutopia, 2025).</w:t>
      </w:r>
    </w:p>
    <w:p w:rsidR="008960F2" w:rsidRDefault="00507C44">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Barriers to Effective Technology Integration</w:t>
      </w:r>
    </w:p>
    <w:p w:rsidR="008960F2" w:rsidRDefault="00507C44">
      <w:pPr>
        <w:jc w:val="both"/>
        <w:rPr>
          <w:rFonts w:ascii="Times New Roman" w:eastAsia="MS Mincho" w:hAnsi="Times New Roman" w:cs="Times New Roman"/>
          <w:sz w:val="24"/>
          <w:szCs w:val="24"/>
        </w:rPr>
      </w:pPr>
      <w:r>
        <w:rPr>
          <w:rFonts w:ascii="Times New Roman" w:eastAsia="MS Mincho" w:hAnsi="Times New Roman" w:cs="Times New Roman"/>
          <w:sz w:val="24"/>
          <w:szCs w:val="24"/>
        </w:rPr>
        <w:t>Despite the clear benefits associated with integrating digital tools into teaching and learning, secondary school teachers continue to encounter substantial obstacles in developing and applying their technology-related competencies. These challenges are commonly grouped into two broad categories: first-order (extrinsic) barriers, which include factors external to the teacher such as inadequate infrastructure, limited access to devices, insufficient technical support, and lack of institutional funding or policy support; and second-order (intrinsic) barriers, which arise from internal teacher-related factors such as limited confidence, low digital self-efficacy, beliefs about teaching and learning, resistance to change, and insufficient pedagogical understanding of how technology can meaningfully enhance instruction. Together, these barriers significantly hinder teachers’ ability to fully build and implement robust technology integration capacity within their classrooms.</w:t>
      </w:r>
      <w:r>
        <w:rPr>
          <w:rFonts w:ascii="Times New Roman" w:eastAsia="Times New Roman" w:hAnsi="Times New Roman" w:cs="Times New Roman"/>
          <w:sz w:val="24"/>
          <w:szCs w:val="24"/>
        </w:rPr>
        <w:t>(Ertmer, 2005).</w:t>
      </w:r>
    </w:p>
    <w:p w:rsidR="008960F2" w:rsidRDefault="00507C44">
      <w:pPr>
        <w:jc w:val="both"/>
        <w:rPr>
          <w:rFonts w:ascii="Times New Roman" w:eastAsia="MS Mincho" w:hAnsi="Times New Roman" w:cs="Times New Roman"/>
          <w:sz w:val="24"/>
          <w:szCs w:val="24"/>
        </w:rPr>
      </w:pPr>
      <w:r>
        <w:rPr>
          <w:rFonts w:ascii="Times New Roman" w:eastAsia="Times New Roman" w:hAnsi="Times New Roman" w:cs="Times New Roman"/>
          <w:bCs/>
          <w:sz w:val="24"/>
          <w:szCs w:val="24"/>
        </w:rPr>
        <w:t>First-Order (Extrinsic) Barriers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are external, structural obstacles:</w:t>
      </w:r>
    </w:p>
    <w:p w:rsidR="008960F2" w:rsidRDefault="00507C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Inadequate Infrastructure and Access:</w:t>
      </w:r>
      <w:r>
        <w:rPr>
          <w:rFonts w:ascii="Times New Roman" w:eastAsia="Times New Roman" w:hAnsi="Times New Roman" w:cs="Times New Roman"/>
          <w:sz w:val="24"/>
          <w:szCs w:val="24"/>
        </w:rPr>
        <w:t xml:space="preserve"> This includes insufficient availability of devices (e.g., lack of 1:1 computing), slow or unreliable internet connectivity, and hardware malfunction with long repair times (Lubis &amp; Wan Hassan, 2017).</w:t>
      </w:r>
    </w:p>
    <w:p w:rsidR="008960F2" w:rsidRDefault="00507C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Insufficient Professional Development:</w:t>
      </w:r>
      <w:r>
        <w:rPr>
          <w:rFonts w:ascii="Times New Roman" w:eastAsia="Times New Roman" w:hAnsi="Times New Roman" w:cs="Times New Roman"/>
          <w:sz w:val="24"/>
          <w:szCs w:val="24"/>
        </w:rPr>
        <w:t xml:space="preserve"> Traditional one-off workshops often fail to provide the sustained, context-specific training needed to meaningfully integrate technology into the curriculum (NEA, 2008).</w:t>
      </w:r>
    </w:p>
    <w:p w:rsidR="008960F2" w:rsidRDefault="00507C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Lack of Technical and Administrative Support:</w:t>
      </w:r>
      <w:r>
        <w:rPr>
          <w:rFonts w:ascii="Times New Roman" w:eastAsia="Times New Roman" w:hAnsi="Times New Roman" w:cs="Times New Roman"/>
          <w:sz w:val="24"/>
          <w:szCs w:val="24"/>
        </w:rPr>
        <w:t xml:space="preserve"> Teachers need accessible, immediate technical support and a supportive, encouraging school leadership that champions technology-driven pedagogical change.</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Second-Order (Intrinsic) Barriers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are internal, teacher-specific obstacles:</w:t>
      </w:r>
    </w:p>
    <w:p w:rsidR="008960F2" w:rsidRDefault="00507C4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Reluctance and Attitudes:</w:t>
      </w:r>
      <w:r>
        <w:rPr>
          <w:rFonts w:ascii="Times New Roman" w:eastAsia="Times New Roman" w:hAnsi="Times New Roman" w:cs="Times New Roman"/>
          <w:sz w:val="24"/>
          <w:szCs w:val="24"/>
        </w:rPr>
        <w:t xml:space="preserve"> Some teachers, especially those accustomed to traditional methods, express reluctance or anxiety towards adopting new technologies (Dinc, 2019).</w:t>
      </w:r>
    </w:p>
    <w:p w:rsidR="008960F2" w:rsidRDefault="00507C4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Time Constraints:</w:t>
      </w:r>
      <w:r>
        <w:rPr>
          <w:rFonts w:ascii="Times New Roman" w:eastAsia="Times New Roman" w:hAnsi="Times New Roman" w:cs="Times New Roman"/>
          <w:sz w:val="24"/>
          <w:szCs w:val="24"/>
        </w:rPr>
        <w:t xml:space="preserve"> Integrating technology effectively requires time for planning, content creation, and mastering new tools, which is often difficult given existing workloads.</w:t>
      </w:r>
    </w:p>
    <w:p w:rsidR="008960F2" w:rsidRDefault="00507C4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Pedagogical Alignment:</w:t>
      </w:r>
      <w:r>
        <w:rPr>
          <w:rFonts w:ascii="Times New Roman" w:eastAsia="Times New Roman" w:hAnsi="Times New Roman" w:cs="Times New Roman"/>
          <w:sz w:val="24"/>
          <w:szCs w:val="24"/>
        </w:rPr>
        <w:t xml:space="preserve"> Many teachers tend to use technology to support traditional, teacher-centered instruction (e.g., using a projector for a lecture) rather than adopting learner-centered pedagogies that transform the learning experience (Hanover Research, 2017).</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Methodology for Capacity Development</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robust strategy for developing teacher capacity must overcome the identified barriers by adopting a continuous, comprehensive, and collaborative approach to professional development (PD).</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Shift to Continuous and Embedded PD</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Instead of isolated workshops, PD must be </w:t>
      </w:r>
      <w:r>
        <w:rPr>
          <w:rFonts w:ascii="Times New Roman" w:eastAsia="Times New Roman" w:hAnsi="Times New Roman" w:cs="Times New Roman"/>
          <w:bCs/>
          <w:sz w:val="24"/>
          <w:szCs w:val="24"/>
        </w:rPr>
        <w:t>on-going, differentiated, and embedded</w:t>
      </w:r>
      <w:r>
        <w:rPr>
          <w:rFonts w:ascii="Times New Roman" w:eastAsia="Times New Roman" w:hAnsi="Times New Roman" w:cs="Times New Roman"/>
          <w:sz w:val="24"/>
          <w:szCs w:val="24"/>
        </w:rPr>
        <w:t xml:space="preserve"> within the daily life of the school (BSD Education, 2024).</w:t>
      </w:r>
    </w:p>
    <w:p w:rsidR="008960F2" w:rsidRDefault="00507C4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Microlearning:</w:t>
      </w:r>
      <w:r>
        <w:rPr>
          <w:rFonts w:ascii="Times New Roman" w:eastAsia="Times New Roman" w:hAnsi="Times New Roman" w:cs="Times New Roman"/>
          <w:sz w:val="24"/>
          <w:szCs w:val="24"/>
        </w:rPr>
        <w:t xml:space="preserve"> Providing professional learning in manageable, focused chunks that can be immediately applied in the classroom.</w:t>
      </w:r>
    </w:p>
    <w:p w:rsidR="008960F2" w:rsidRDefault="00507C4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Differentiated Learning Paths:</w:t>
      </w:r>
      <w:r>
        <w:rPr>
          <w:rFonts w:ascii="Times New Roman" w:eastAsia="Times New Roman" w:hAnsi="Times New Roman" w:cs="Times New Roman"/>
          <w:sz w:val="24"/>
          <w:szCs w:val="24"/>
        </w:rPr>
        <w:t xml:space="preserve"> Tailoring training content based on a teacher's current TPACK level, subject area, and individual needs assessment (Hanover Research, 2017).</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Focus on Active Learning and Coaching</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effective PD models are experiential and interactive, allowing teachers to actively design and practice new strategies.</w:t>
      </w:r>
    </w:p>
    <w:p w:rsidR="008960F2" w:rsidRDefault="00507C44">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Peer-Led Professional Learning Communities (PLCs):</w:t>
      </w:r>
      <w:r>
        <w:rPr>
          <w:rFonts w:ascii="Times New Roman" w:eastAsia="Times New Roman" w:hAnsi="Times New Roman" w:cs="Times New Roman"/>
          <w:sz w:val="24"/>
          <w:szCs w:val="24"/>
        </w:rPr>
        <w:t xml:space="preserve"> Establishing school-based groups where teachers in the same subject or grade level can collaboratively plan technology-enhanced lessons, share best practices, and troubleshoot challenges (Oyunge, 2025).</w:t>
      </w:r>
    </w:p>
    <w:p w:rsidR="008960F2" w:rsidRDefault="00507C44">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Expert Coaching and Mentoring:</w:t>
      </w:r>
      <w:r>
        <w:rPr>
          <w:rFonts w:ascii="Times New Roman" w:eastAsia="Times New Roman" w:hAnsi="Times New Roman" w:cs="Times New Roman"/>
          <w:sz w:val="24"/>
          <w:szCs w:val="24"/>
        </w:rPr>
        <w:t xml:space="preserve"> Providing </w:t>
      </w:r>
      <w:r>
        <w:rPr>
          <w:rFonts w:ascii="Times New Roman" w:eastAsia="Times New Roman" w:hAnsi="Times New Roman" w:cs="Times New Roman"/>
          <w:bCs/>
          <w:sz w:val="24"/>
          <w:szCs w:val="24"/>
        </w:rPr>
        <w:t>sustained, individualized coaching</w:t>
      </w:r>
      <w:r>
        <w:rPr>
          <w:rFonts w:ascii="Times New Roman" w:eastAsia="Times New Roman" w:hAnsi="Times New Roman" w:cs="Times New Roman"/>
          <w:sz w:val="24"/>
          <w:szCs w:val="24"/>
        </w:rPr>
        <w:t xml:space="preserve"> from technology integration specialists or "Teacher Champions" is highly effective. Studies show that teachers who receive coaching are significantly more likely to implement new instructional methods (ISTE, as cited in Hanover Research, 2017).</w:t>
      </w:r>
    </w:p>
    <w:p w:rsidR="008960F2" w:rsidRDefault="00507C44">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Modeling Effective Practice:</w:t>
      </w:r>
      <w:r>
        <w:rPr>
          <w:rFonts w:ascii="Times New Roman" w:eastAsia="Times New Roman" w:hAnsi="Times New Roman" w:cs="Times New Roman"/>
          <w:sz w:val="24"/>
          <w:szCs w:val="24"/>
        </w:rPr>
        <w:t xml:space="preserve"> PD should not just teach </w:t>
      </w:r>
      <w:r>
        <w:rPr>
          <w:rFonts w:ascii="Times New Roman" w:eastAsia="Times New Roman" w:hAnsi="Times New Roman" w:cs="Times New Roman"/>
          <w:i/>
          <w:iCs/>
          <w:sz w:val="24"/>
          <w:szCs w:val="24"/>
        </w:rPr>
        <w:t>how</w:t>
      </w:r>
      <w:r>
        <w:rPr>
          <w:rFonts w:ascii="Times New Roman" w:eastAsia="Times New Roman" w:hAnsi="Times New Roman" w:cs="Times New Roman"/>
          <w:sz w:val="24"/>
          <w:szCs w:val="24"/>
        </w:rPr>
        <w:t xml:space="preserve"> to use a tool, but </w:t>
      </w:r>
      <w:r>
        <w:rPr>
          <w:rFonts w:ascii="Times New Roman" w:eastAsia="Times New Roman" w:hAnsi="Times New Roman" w:cs="Times New Roman"/>
          <w:i/>
          <w:iCs/>
          <w:sz w:val="24"/>
          <w:szCs w:val="24"/>
        </w:rPr>
        <w:t>model</w:t>
      </w:r>
      <w:r>
        <w:rPr>
          <w:rFonts w:ascii="Times New Roman" w:eastAsia="Times New Roman" w:hAnsi="Times New Roman" w:cs="Times New Roman"/>
          <w:sz w:val="24"/>
          <w:szCs w:val="24"/>
        </w:rPr>
        <w:t xml:space="preserve"> the pedagogical application of that tool within an actual lesson context.</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Policy and Infrastructure Support</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Capacity development is unsustainable without parallel institutional support:</w:t>
      </w:r>
    </w:p>
    <w:p w:rsidR="008960F2" w:rsidRDefault="00507C44">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Needs-Based Resource Allocation:</w:t>
      </w:r>
      <w:r>
        <w:rPr>
          <w:rFonts w:ascii="Times New Roman" w:eastAsia="Times New Roman" w:hAnsi="Times New Roman" w:cs="Times New Roman"/>
          <w:sz w:val="24"/>
          <w:szCs w:val="24"/>
        </w:rPr>
        <w:t xml:space="preserve"> Technology purchases must be informed by teacher input and curricular needs, ensuring the tools acquired are compatible with pedagogical goals (NEA, 2008).</w:t>
      </w:r>
    </w:p>
    <w:p w:rsidR="008960F2" w:rsidRDefault="00507C44">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Dedicated Time for Planning:</w:t>
      </w:r>
      <w:r>
        <w:rPr>
          <w:rFonts w:ascii="Times New Roman" w:eastAsia="Times New Roman" w:hAnsi="Times New Roman" w:cs="Times New Roman"/>
          <w:sz w:val="24"/>
          <w:szCs w:val="24"/>
        </w:rPr>
        <w:t xml:space="preserve"> School schedules must allocate dedicated, collaborative time for teachers to design and refine technology-integrated less.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Establish a Technology Integration Task Force:</w:t>
      </w:r>
      <w:r>
        <w:rPr>
          <w:rFonts w:ascii="Times New Roman" w:eastAsia="Times New Roman" w:hAnsi="Times New Roman" w:cs="Times New Roman"/>
          <w:sz w:val="24"/>
          <w:szCs w:val="24"/>
        </w:rPr>
        <w:t xml:space="preserve"> Create a cross-departmental committee, including teachers, administrators, and a technical expert, to drive and monitor the technology plan.</w:t>
      </w:r>
    </w:p>
    <w:p w:rsidR="008960F2" w:rsidRDefault="00507C44">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Implement a TPACK Needs Assessment:</w:t>
      </w:r>
      <w:r>
        <w:rPr>
          <w:rFonts w:ascii="Times New Roman" w:eastAsia="Times New Roman" w:hAnsi="Times New Roman" w:cs="Times New Roman"/>
          <w:sz w:val="24"/>
          <w:szCs w:val="24"/>
        </w:rPr>
        <w:t xml:space="preserve"> Conduct annual surveys to identify each teacher's current level of technological, pedagogical, and content knowledge to inform differentiated PD.</w:t>
      </w:r>
    </w:p>
    <w:p w:rsidR="008960F2" w:rsidRDefault="00507C44">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Launch a Teacher Champion Program:</w:t>
      </w:r>
      <w:r>
        <w:rPr>
          <w:rFonts w:ascii="Times New Roman" w:eastAsia="Times New Roman" w:hAnsi="Times New Roman" w:cs="Times New Roman"/>
          <w:sz w:val="24"/>
          <w:szCs w:val="24"/>
        </w:rPr>
        <w:t xml:space="preserve"> Select and train expert teachers to become technology mentors, providing in-house, subject-specific coaching and support for their colleagues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District/Policy-Level Recommendations (Strategic and Long-Term)</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Mandate Sustained Professional Development:</w:t>
      </w:r>
      <w:r>
        <w:rPr>
          <w:rFonts w:ascii="Times New Roman" w:eastAsia="Times New Roman" w:hAnsi="Times New Roman" w:cs="Times New Roman"/>
          <w:sz w:val="24"/>
          <w:szCs w:val="24"/>
        </w:rPr>
        <w:t xml:space="preserve"> Shift PD budgets away from one-off events to year-long, embedded programs that include mentorship and collaboration. Allocate 20% to 33% of the technology budget specifically to professional development (NEA, 2008).</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Adopt the TPACK Framework:</w:t>
      </w:r>
      <w:r>
        <w:rPr>
          <w:rFonts w:ascii="Times New Roman" w:eastAsia="Times New Roman" w:hAnsi="Times New Roman" w:cs="Times New Roman"/>
          <w:sz w:val="24"/>
          <w:szCs w:val="24"/>
        </w:rPr>
        <w:t xml:space="preserve"> Integrate the TPACK framework into pre-service teacher education and in-service PD curriculum design to ensure a holistic focus on the intersection of knowledge domains.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Prioritize Infrastructure and Support:</w:t>
      </w:r>
      <w:r>
        <w:rPr>
          <w:rFonts w:ascii="Times New Roman" w:eastAsia="Times New Roman" w:hAnsi="Times New Roman" w:cs="Times New Roman"/>
          <w:sz w:val="24"/>
          <w:szCs w:val="24"/>
        </w:rPr>
        <w:t xml:space="preserve"> Ensure a robust, high-speed network and a dedicated, responsive technical support system to eliminate first-order barriers that undermine teacher effort.</w:t>
      </w:r>
    </w:p>
    <w:p w:rsidR="008960F2" w:rsidRDefault="00507C44">
      <w:pPr>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Integrating Technology and Digital Literacy into the Curriculum</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Integrating technology and digital literacy into the curriculum has become essential for preparing students to participate effectively in a rapidly evolving digital world. Technology-enhanced learning environments promote student engagement, support personalized learning pathways, and facilitate collaboration beyond the traditional classroom. Digital literacy encompassing skills such as information evaluation, online communication, ethical technology use, and problem-solving is now viewed as a core competency that enables learners to navigate complex digital ecosystems (Hague &amp; Payton, 2010). Effective integration requires aligning technological tools with pedagogical goals, providing relevant teacher professional development, and ensuring equitable access to digital resources. When thoughtfully implemented, technology and digital literacy strengthen students’ critical thinking, creativity, and readiness for future academic and workplace demands.</w:t>
      </w:r>
    </w:p>
    <w:p w:rsidR="008960F2" w:rsidRDefault="00507C44">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Fostering Critical Thinking, Creativity, and Problem-Solving Skills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Developing learners’ critical thinking, creativity, and problem-solving skills is essential for preparing them to navigate complex real-world challenges. Critical thinking enables students to analyze information objectively, evaluate evidence, and make reasoned judgments (Brookfield, 2012). Creativity supports the generation of original ideas and innovative solutions, fostering adaptability in rapidly changing environments (Robinson, 2011). Problem-solving skills integrate both critical and creative thinking, guiding learners to identify issues, consider alternative strategies, and apply appropriate solutions in varied contexts (Jonassen, 2011). Educators can </w:t>
      </w:r>
      <w:r>
        <w:rPr>
          <w:rFonts w:ascii="Times New Roman" w:eastAsia="Times New Roman" w:hAnsi="Times New Roman" w:cs="Times New Roman"/>
          <w:sz w:val="24"/>
          <w:szCs w:val="24"/>
        </w:rPr>
        <w:lastRenderedPageBreak/>
        <w:t>promote these skills through inquiry-based learning, collaborative activities, and authentic tasks that encourage reflection, exploration, and experimentation. Embedding these competencies in everyday classroom practices helps learners become independent thinkers and lifelong learners.</w:t>
      </w:r>
    </w:p>
    <w:p w:rsidR="008960F2" w:rsidRDefault="00507C44">
      <w:pPr>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Addressing the Needs of Diverse Learners in Secondary School Settings</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Addressing the needs of diverse learners in secondary school settings is fundamental to ensuring that all students have equitable access to meaningful learning experiences. Secondary classrooms are composed of students with varying abilities, backgrounds, learning preferences, and socio-emotional needs, making inclusive and adaptive teaching approaches essential. Differentiated instruction is a key strategy for supporting diverse learners, as it allows teachers to modify content, processes, and assessments based on students’ readiness, interests, and learning profiles (Tomlinson, 2017). Universal Design for Learning (UDL) complements differentiation by providing flexible learning pathways through multiple means of representation, engagement, and expression, ensuring that instructional design accommodates variability from the outset (CAST, 2018). Culturally responsive pedagogy further enhances inclusion by affirming students’ cultural identities and incorporating their experiences into instruction. This approach not only supports academic achievement but also strengthens students’ sense of belonging and motivation (Gay, 2018). Additionally, collaboration among teachers, parents, and support professionals such as special educators, psychologists, and counselors enables early identification of learning needs and provision of targeted interventions. Through ongoing assessment, reflective practice, and responsive teaching, educators can create supportive learning environments where every student is able to thrive academically and socially.</w:t>
      </w:r>
    </w:p>
    <w:p w:rsidR="008960F2" w:rsidRDefault="00507C44">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Aligning Curriculum Design with National Policies and Standards</w:t>
      </w:r>
    </w:p>
    <w:p w:rsidR="008960F2" w:rsidRDefault="00507C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concept focuses on the crucial process of ensuring that the </w:t>
      </w:r>
      <w:r>
        <w:rPr>
          <w:rFonts w:ascii="Times New Roman" w:eastAsia="Times New Roman" w:hAnsi="Times New Roman" w:cs="Times New Roman"/>
          <w:bCs/>
          <w:sz w:val="24"/>
          <w:szCs w:val="24"/>
        </w:rPr>
        <w:t>content, structure, and intended outcomes of a curriculum</w:t>
      </w:r>
      <w:r>
        <w:rPr>
          <w:rFonts w:ascii="Times New Roman" w:eastAsia="Times New Roman" w:hAnsi="Times New Roman" w:cs="Times New Roman"/>
          <w:sz w:val="24"/>
          <w:szCs w:val="24"/>
        </w:rPr>
        <w:t xml:space="preserve"> directly reflect and support the </w:t>
      </w:r>
      <w:r>
        <w:rPr>
          <w:rFonts w:ascii="Times New Roman" w:eastAsia="Times New Roman" w:hAnsi="Times New Roman" w:cs="Times New Roman"/>
          <w:bCs/>
          <w:sz w:val="24"/>
          <w:szCs w:val="24"/>
        </w:rPr>
        <w:t>official educational goals, mandates, and performance benchmarks</w:t>
      </w:r>
      <w:r>
        <w:rPr>
          <w:rFonts w:ascii="Times New Roman" w:eastAsia="Times New Roman" w:hAnsi="Times New Roman" w:cs="Times New Roman"/>
          <w:sz w:val="24"/>
          <w:szCs w:val="24"/>
        </w:rPr>
        <w:t xml:space="preserve"> set forth by a national or central governing body. Key components include </w:t>
      </w:r>
      <w:r>
        <w:rPr>
          <w:rFonts w:ascii="Times New Roman" w:eastAsia="Times New Roman" w:hAnsi="Times New Roman" w:cs="Times New Roman"/>
          <w:bCs/>
          <w:sz w:val="24"/>
          <w:szCs w:val="24"/>
        </w:rPr>
        <w:t>Policy Compliance</w:t>
      </w:r>
      <w:r>
        <w:rPr>
          <w:rFonts w:ascii="Times New Roman" w:eastAsia="Times New Roman" w:hAnsi="Times New Roman" w:cs="Times New Roman"/>
          <w:sz w:val="24"/>
          <w:szCs w:val="24"/>
        </w:rPr>
        <w:t xml:space="preserve"> (integrating directives from national educational laws and strategic plans), </w:t>
      </w:r>
      <w:r>
        <w:rPr>
          <w:rFonts w:ascii="Times New Roman" w:eastAsia="Times New Roman" w:hAnsi="Times New Roman" w:cs="Times New Roman"/>
          <w:bCs/>
          <w:sz w:val="24"/>
          <w:szCs w:val="24"/>
        </w:rPr>
        <w:t>Standards Alignment</w:t>
      </w:r>
      <w:r>
        <w:rPr>
          <w:rFonts w:ascii="Times New Roman" w:eastAsia="Times New Roman" w:hAnsi="Times New Roman" w:cs="Times New Roman"/>
          <w:sz w:val="24"/>
          <w:szCs w:val="24"/>
        </w:rPr>
        <w:t xml:space="preserve"> (mapping objectives and assessments to established national standards that define expected knowledge and skills), and </w:t>
      </w:r>
      <w:r>
        <w:rPr>
          <w:rFonts w:ascii="Times New Roman" w:eastAsia="Times New Roman" w:hAnsi="Times New Roman" w:cs="Times New Roman"/>
          <w:bCs/>
          <w:sz w:val="24"/>
          <w:szCs w:val="24"/>
        </w:rPr>
        <w:t>Quality Assurance</w:t>
      </w:r>
      <w:r>
        <w:rPr>
          <w:rFonts w:ascii="Times New Roman" w:eastAsia="Times New Roman" w:hAnsi="Times New Roman" w:cs="Times New Roman"/>
          <w:sz w:val="24"/>
          <w:szCs w:val="24"/>
        </w:rPr>
        <w:t xml:space="preserve"> (using alignment as a mechanism for quality control, accountability, and consistency across institutions). This process is vital for promoting the achievement of nationally desired learning outcomes and fostering a shared understanding of national values. </w:t>
      </w:r>
      <w:r>
        <w:rPr>
          <w:rFonts w:ascii="Times New Roman" w:eastAsia="Times New Roman" w:hAnsi="Times New Roman" w:cs="Times New Roman"/>
          <w:bCs/>
          <w:sz w:val="24"/>
          <w:szCs w:val="24"/>
        </w:rPr>
        <w:t>Citation (Parenthetical):</w:t>
      </w:r>
      <w:r>
        <w:rPr>
          <w:rFonts w:ascii="Times New Roman" w:eastAsia="Times New Roman" w:hAnsi="Times New Roman" w:cs="Times New Roman"/>
          <w:sz w:val="24"/>
          <w:szCs w:val="24"/>
        </w:rPr>
        <w:t xml:space="preserve"> (Fullan, 2007).  .</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Conclusion</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effective integration of technology in the secondary school curriculum is an imperative for modern education. Success hinges not on the quantity of devices but on the </w:t>
      </w:r>
      <w:r>
        <w:rPr>
          <w:rFonts w:ascii="Times New Roman" w:eastAsia="Times New Roman" w:hAnsi="Times New Roman" w:cs="Times New Roman"/>
          <w:bCs/>
          <w:sz w:val="24"/>
          <w:szCs w:val="24"/>
        </w:rPr>
        <w:t>quality of the teachers' capacity</w:t>
      </w:r>
      <w:r>
        <w:rPr>
          <w:rFonts w:ascii="Times New Roman" w:eastAsia="Times New Roman" w:hAnsi="Times New Roman" w:cs="Times New Roman"/>
          <w:sz w:val="24"/>
          <w:szCs w:val="24"/>
        </w:rPr>
        <w:t xml:space="preserve"> to use these tools to transform learning. By adopting the </w:t>
      </w:r>
      <w:r>
        <w:rPr>
          <w:rFonts w:ascii="Times New Roman" w:eastAsia="Times New Roman" w:hAnsi="Times New Roman" w:cs="Times New Roman"/>
          <w:bCs/>
          <w:sz w:val="24"/>
          <w:szCs w:val="24"/>
        </w:rPr>
        <w:t>TPACK framework</w:t>
      </w:r>
      <w:r>
        <w:rPr>
          <w:rFonts w:ascii="Times New Roman" w:eastAsia="Times New Roman" w:hAnsi="Times New Roman" w:cs="Times New Roman"/>
          <w:sz w:val="24"/>
          <w:szCs w:val="24"/>
        </w:rPr>
        <w:t xml:space="preserve"> as a guiding principle and investing in </w:t>
      </w:r>
      <w:r>
        <w:rPr>
          <w:rFonts w:ascii="Times New Roman" w:eastAsia="Times New Roman" w:hAnsi="Times New Roman" w:cs="Times New Roman"/>
          <w:bCs/>
          <w:sz w:val="24"/>
          <w:szCs w:val="24"/>
        </w:rPr>
        <w:t>continuous, collaborative, and coached professional development</w:t>
      </w:r>
      <w:r>
        <w:rPr>
          <w:rFonts w:ascii="Times New Roman" w:eastAsia="Times New Roman" w:hAnsi="Times New Roman" w:cs="Times New Roman"/>
          <w:sz w:val="24"/>
          <w:szCs w:val="24"/>
        </w:rPr>
        <w:t xml:space="preserve">, schools can empower teachers to move beyond simply using technology to </w:t>
      </w:r>
      <w:r>
        <w:rPr>
          <w:rFonts w:ascii="Times New Roman" w:eastAsia="Times New Roman" w:hAnsi="Times New Roman" w:cs="Times New Roman"/>
          <w:bCs/>
          <w:sz w:val="24"/>
          <w:szCs w:val="24"/>
        </w:rPr>
        <w:t>meaningfully integrating</w:t>
      </w:r>
      <w:r>
        <w:rPr>
          <w:rFonts w:ascii="Times New Roman" w:eastAsia="Times New Roman" w:hAnsi="Times New Roman" w:cs="Times New Roman"/>
          <w:sz w:val="24"/>
          <w:szCs w:val="24"/>
        </w:rPr>
        <w:t xml:space="preserve"> it. This strategic focus on building robust teacher capacity is the single most important investment to ensure that technology fulfills its promise of creating engaging, relevant, and future-ready educational experiences for all secondary school students.</w:t>
      </w:r>
    </w:p>
    <w:p w:rsidR="008960F2" w:rsidRDefault="008960F2">
      <w:pPr>
        <w:spacing w:before="100" w:beforeAutospacing="1" w:after="100" w:afterAutospacing="1" w:line="240" w:lineRule="auto"/>
        <w:jc w:val="both"/>
        <w:rPr>
          <w:rFonts w:ascii="Times New Roman" w:eastAsia="Times New Roman" w:hAnsi="Times New Roman" w:cs="Times New Roman"/>
          <w:b/>
          <w:sz w:val="24"/>
          <w:szCs w:val="24"/>
        </w:rPr>
      </w:pPr>
    </w:p>
    <w:p w:rsidR="008960F2" w:rsidRDefault="008960F2">
      <w:pPr>
        <w:spacing w:before="100" w:beforeAutospacing="1" w:after="100" w:afterAutospacing="1" w:line="240" w:lineRule="auto"/>
        <w:jc w:val="both"/>
        <w:rPr>
          <w:rFonts w:ascii="Times New Roman" w:eastAsia="Times New Roman" w:hAnsi="Times New Roman" w:cs="Times New Roman"/>
          <w:b/>
          <w:sz w:val="24"/>
          <w:szCs w:val="24"/>
        </w:rPr>
      </w:pPr>
    </w:p>
    <w:p w:rsidR="008960F2" w:rsidRDefault="00507C44">
      <w:pPr>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Recommendation</w:t>
      </w:r>
    </w:p>
    <w:p w:rsidR="008960F2" w:rsidRDefault="0050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paper gave the following recommendations to Government, policy makers. School managements and teachers as follows:-</w:t>
      </w:r>
    </w:p>
    <w:p w:rsidR="008960F2" w:rsidRDefault="00507C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policies must mandate and fund continuous, high-quality PD aligned with the TPACK framework.</w:t>
      </w:r>
    </w:p>
    <w:p w:rsidR="008960F2" w:rsidRDefault="008960F2">
      <w:pPr>
        <w:spacing w:after="0" w:line="240" w:lineRule="auto"/>
        <w:jc w:val="both"/>
        <w:rPr>
          <w:rFonts w:ascii="Times New Roman" w:eastAsia="Times New Roman" w:hAnsi="Times New Roman" w:cs="Times New Roman"/>
          <w:sz w:val="24"/>
          <w:szCs w:val="24"/>
        </w:rPr>
      </w:pPr>
    </w:p>
    <w:p w:rsidR="008960F2" w:rsidRDefault="00507C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administrators must champion technology integration, providing the necessary time, resources, and institutional support while fostering a culture of innovation and risk-taking.</w:t>
      </w:r>
    </w:p>
    <w:p w:rsidR="008960F2" w:rsidRDefault="008960F2">
      <w:pPr>
        <w:spacing w:after="0" w:line="240" w:lineRule="auto"/>
        <w:jc w:val="both"/>
        <w:rPr>
          <w:rFonts w:ascii="Times New Roman" w:eastAsia="Times New Roman" w:hAnsi="Times New Roman" w:cs="Times New Roman"/>
          <w:sz w:val="24"/>
          <w:szCs w:val="24"/>
        </w:rPr>
      </w:pPr>
    </w:p>
    <w:p w:rsidR="008960F2" w:rsidRDefault="00507C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Resource Allocation: Budgets must prioritize not only hardware acquisition but also infrastructure maintenance, software licensing, and, critically, the sustained professional growth of the teaching staff.</w:t>
      </w:r>
    </w:p>
    <w:p w:rsidR="008960F2" w:rsidRDefault="00507C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Restructuring teacher time</w:t>
      </w:r>
      <w:r>
        <w:rPr>
          <w:rFonts w:ascii="Times New Roman" w:eastAsia="Times New Roman" w:hAnsi="Times New Roman" w:cs="Times New Roman"/>
          <w:sz w:val="24"/>
          <w:szCs w:val="24"/>
        </w:rPr>
        <w:t xml:space="preserve"> to embed collaborative planning sessions (PLCs) for technology integration.</w:t>
      </w:r>
    </w:p>
    <w:p w:rsidR="008960F2" w:rsidRDefault="00507C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Prioritizing funding for infrastructure</w:t>
      </w:r>
      <w:r>
        <w:rPr>
          <w:rFonts w:ascii="Times New Roman" w:eastAsia="Times New Roman" w:hAnsi="Times New Roman" w:cs="Times New Roman"/>
          <w:sz w:val="24"/>
          <w:szCs w:val="24"/>
        </w:rPr>
        <w:t xml:space="preserve"> (reliable Wi-Fi, support) to close the "Presence to Practice" gap.</w:t>
      </w:r>
    </w:p>
    <w:p w:rsidR="008960F2" w:rsidRDefault="00507C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Developing clear </w:t>
      </w:r>
      <w:r>
        <w:rPr>
          <w:rFonts w:ascii="Times New Roman" w:eastAsia="Times New Roman" w:hAnsi="Times New Roman" w:cs="Times New Roman"/>
          <w:bCs/>
          <w:sz w:val="24"/>
          <w:szCs w:val="24"/>
        </w:rPr>
        <w:t>TPACK competency standards</w:t>
      </w:r>
      <w:r>
        <w:rPr>
          <w:rFonts w:ascii="Times New Roman" w:eastAsia="Times New Roman" w:hAnsi="Times New Roman" w:cs="Times New Roman"/>
          <w:sz w:val="24"/>
          <w:szCs w:val="24"/>
        </w:rPr>
        <w:t xml:space="preserve"> linked to teacher evaluation and career advancement.</w:t>
      </w:r>
    </w:p>
    <w:p w:rsidR="008960F2" w:rsidRDefault="008960F2">
      <w:pPr>
        <w:jc w:val="both"/>
        <w:rPr>
          <w:rFonts w:ascii="Times New Roman" w:hAnsi="Times New Roman" w:cs="Times New Roman"/>
          <w:sz w:val="24"/>
          <w:szCs w:val="24"/>
        </w:rPr>
      </w:pPr>
    </w:p>
    <w:p w:rsidR="008960F2" w:rsidRDefault="008960F2">
      <w:pPr>
        <w:spacing w:before="100" w:beforeAutospacing="1" w:after="100" w:afterAutospacing="1" w:line="240" w:lineRule="auto"/>
        <w:jc w:val="both"/>
        <w:rPr>
          <w:rFonts w:ascii="Times New Roman" w:eastAsia="Times New Roman" w:hAnsi="Times New Roman" w:cs="Times New Roman"/>
          <w:b/>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8960F2">
      <w:pPr>
        <w:spacing w:after="0" w:line="240" w:lineRule="auto"/>
        <w:jc w:val="both"/>
        <w:rPr>
          <w:rFonts w:ascii="Times New Roman" w:eastAsia="Times New Roman" w:hAnsi="Times New Roman" w:cs="Times New Roman"/>
          <w:b/>
          <w:bCs/>
          <w:sz w:val="24"/>
          <w:szCs w:val="24"/>
        </w:rPr>
      </w:pPr>
    </w:p>
    <w:p w:rsidR="008960F2" w:rsidRDefault="00507C44">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Brookfield, S. D. (2012). Teaching for critical thinking: Tools and techniques to help students question their assumptions. Jossey-Bass.</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CAST. (2018). *Universal Design for Learning Guidelines version 2.2*. CAST.</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Dinc, E. (2019). Prospective Teachers' Perceptions of Barriers to Technology Integration in Education. </w:t>
      </w:r>
      <w:r>
        <w:rPr>
          <w:rFonts w:ascii="Times New Roman" w:eastAsia="Times New Roman" w:hAnsi="Times New Roman" w:cs="Times New Roman"/>
          <w:i/>
          <w:iCs/>
          <w:sz w:val="24"/>
          <w:szCs w:val="24"/>
        </w:rPr>
        <w:t>Contemporary Educational Technology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w:t>
      </w:r>
      <w:r>
        <w:rPr>
          <w:rFonts w:ascii="Times New Roman" w:eastAsia="Times New Roman" w:hAnsi="Times New Roman" w:cs="Times New Roman"/>
          <w:sz w:val="24"/>
          <w:szCs w:val="24"/>
        </w:rPr>
        <w:t>(4), 384-398.</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Edutopia. (2025). </w:t>
      </w:r>
      <w:r>
        <w:rPr>
          <w:rFonts w:ascii="Times New Roman" w:eastAsia="Times New Roman" w:hAnsi="Times New Roman" w:cs="Times New Roman"/>
          <w:i/>
          <w:iCs/>
          <w:sz w:val="24"/>
          <w:szCs w:val="24"/>
        </w:rPr>
        <w:t>How Forward-Thinking Schools Are Shaping the Future of AI in Education</w:t>
      </w:r>
      <w:r>
        <w:rPr>
          <w:rFonts w:ascii="Times New Roman" w:eastAsia="Times New Roman" w:hAnsi="Times New Roman" w:cs="Times New Roman"/>
          <w:sz w:val="24"/>
          <w:szCs w:val="24"/>
        </w:rPr>
        <w:t>.</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Ertmer, P. A. (2005). Teacher pedagogical beliefs: The final frontier in our quest for technology integration? </w:t>
      </w:r>
      <w:r>
        <w:rPr>
          <w:rFonts w:ascii="Times New Roman" w:eastAsia="Times New Roman" w:hAnsi="Times New Roman" w:cs="Times New Roman"/>
          <w:i/>
          <w:iCs/>
          <w:sz w:val="24"/>
          <w:szCs w:val="24"/>
        </w:rPr>
        <w:t>Educational Technology Research and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53</w:t>
      </w:r>
      <w:r>
        <w:rPr>
          <w:rFonts w:ascii="Times New Roman" w:eastAsia="Times New Roman" w:hAnsi="Times New Roman" w:cs="Times New Roman"/>
          <w:sz w:val="24"/>
          <w:szCs w:val="24"/>
        </w:rPr>
        <w:t>(4), 25–39.</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Fullan, M. (2007). </w:t>
      </w:r>
      <w:r>
        <w:rPr>
          <w:rFonts w:ascii="Times New Roman" w:eastAsia="Times New Roman" w:hAnsi="Times New Roman" w:cs="Times New Roman"/>
          <w:i/>
          <w:iCs/>
          <w:sz w:val="24"/>
          <w:szCs w:val="24"/>
        </w:rPr>
        <w:t>The new meaning of educational change</w:t>
      </w:r>
      <w:r>
        <w:rPr>
          <w:rFonts w:ascii="Times New Roman" w:eastAsia="Times New Roman" w:hAnsi="Times New Roman" w:cs="Times New Roman"/>
          <w:sz w:val="24"/>
          <w:szCs w:val="24"/>
        </w:rPr>
        <w:t xml:space="preserve"> (4th ed.). Routledge.</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Gay, G. (2018). *Culturally Responsive Teaching: Theory, Research, and Practice* (3rd ed.). Teachers College Press.</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Hanover Research. (2017). </w:t>
      </w:r>
      <w:r>
        <w:rPr>
          <w:rFonts w:ascii="Times New Roman" w:eastAsia="Times New Roman" w:hAnsi="Times New Roman" w:cs="Times New Roman"/>
          <w:i/>
          <w:iCs/>
          <w:sz w:val="24"/>
          <w:szCs w:val="24"/>
        </w:rPr>
        <w:t>Professional Development for Technology Integration</w:t>
      </w:r>
      <w:r>
        <w:rPr>
          <w:rFonts w:ascii="Times New Roman" w:eastAsia="Times New Roman" w:hAnsi="Times New Roman" w:cs="Times New Roman"/>
          <w:sz w:val="24"/>
          <w:szCs w:val="24"/>
        </w:rPr>
        <w:t>.</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Hague, C., &amp; Payton, S. (2010). Digital literacy across the curriculum. Future lab.</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Jonassen, D. H. (2001). Learning to solve problems: A handbook for designing problem-solving learning environments. Rutledge.</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Lubis, S. A., &amp; Wan Hassan, W. S. B. (2017). Multimedia-assisted teaching and its relationship with the completeness of school's infrastructure. </w:t>
      </w:r>
      <w:r>
        <w:rPr>
          <w:rFonts w:ascii="Times New Roman" w:eastAsia="Times New Roman" w:hAnsi="Times New Roman" w:cs="Times New Roman"/>
          <w:i/>
          <w:iCs/>
          <w:sz w:val="24"/>
          <w:szCs w:val="24"/>
        </w:rPr>
        <w:t>International Journal of Modern Education Forum</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6</w:t>
      </w:r>
      <w:r>
        <w:rPr>
          <w:rFonts w:ascii="Times New Roman" w:eastAsia="Times New Roman" w:hAnsi="Times New Roman" w:cs="Times New Roman"/>
          <w:sz w:val="24"/>
          <w:szCs w:val="24"/>
        </w:rPr>
        <w:t>(1), 1-10.</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Mishra, P., &amp; Koehler, M. J. (2006). Technological Pedagogical Content Knowledge (TPACK): A framework for teacher knowledge. </w:t>
      </w:r>
      <w:r>
        <w:rPr>
          <w:rFonts w:ascii="Times New Roman" w:eastAsia="Times New Roman" w:hAnsi="Times New Roman" w:cs="Times New Roman"/>
          <w:i/>
          <w:iCs/>
          <w:sz w:val="24"/>
          <w:szCs w:val="24"/>
        </w:rPr>
        <w:t>Teachers College Record</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108</w:t>
      </w:r>
      <w:r>
        <w:rPr>
          <w:rFonts w:ascii="Times New Roman" w:eastAsia="Times New Roman" w:hAnsi="Times New Roman" w:cs="Times New Roman"/>
          <w:sz w:val="24"/>
          <w:szCs w:val="24"/>
        </w:rPr>
        <w:t>(6), 1017-1054.</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Education Association (NEA). (2008). </w:t>
      </w:r>
      <w:r>
        <w:rPr>
          <w:rFonts w:ascii="Times New Roman" w:eastAsia="Times New Roman" w:hAnsi="Times New Roman" w:cs="Times New Roman"/>
          <w:i/>
          <w:iCs/>
          <w:sz w:val="24"/>
          <w:szCs w:val="24"/>
        </w:rPr>
        <w:t>Access, Adequacy, and Equity in Education Technology: A Report of the NEA Technology Task Force</w:t>
      </w:r>
      <w:r>
        <w:rPr>
          <w:rFonts w:ascii="Times New Roman" w:eastAsia="Times New Roman" w:hAnsi="Times New Roman" w:cs="Times New Roman"/>
          <w:sz w:val="24"/>
          <w:szCs w:val="24"/>
        </w:rPr>
        <w:t>.</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Oyunge, G. (2025). Effective Teacher Professional Development and Technology Integration: Secondary School Teachers' Viewpoints. </w:t>
      </w:r>
      <w:r>
        <w:rPr>
          <w:rFonts w:ascii="Times New Roman" w:eastAsia="Times New Roman" w:hAnsi="Times New Roman" w:cs="Times New Roman"/>
          <w:i/>
          <w:iCs/>
          <w:sz w:val="24"/>
          <w:szCs w:val="24"/>
        </w:rPr>
        <w:t>European Journal of Education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11</w:t>
      </w:r>
      <w:r>
        <w:rPr>
          <w:rFonts w:ascii="Times New Roman" w:eastAsia="Times New Roman" w:hAnsi="Times New Roman" w:cs="Times New Roman"/>
          <w:sz w:val="24"/>
          <w:szCs w:val="24"/>
        </w:rPr>
        <w:t>(2).</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Gay, G. (2018). *Culturally Responsive Teaching: Theory, Research, and Practice* (3rd ed.). Teachers College Press.</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Sawang, S., O’Connor, P., &amp; Ali, M. (2017). Using Technology to Enhance Students’ Engagement in a Large Classroom. </w:t>
      </w:r>
      <w:r>
        <w:rPr>
          <w:rFonts w:ascii="Times New Roman" w:eastAsia="Times New Roman" w:hAnsi="Times New Roman" w:cs="Times New Roman"/>
          <w:i/>
          <w:iCs/>
          <w:sz w:val="24"/>
          <w:szCs w:val="24"/>
        </w:rPr>
        <w:t>Journal of Learning Design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w:t>
      </w:r>
      <w:r>
        <w:rPr>
          <w:rFonts w:ascii="Times New Roman" w:eastAsia="Times New Roman" w:hAnsi="Times New Roman" w:cs="Times New Roman"/>
          <w:sz w:val="24"/>
          <w:szCs w:val="24"/>
        </w:rPr>
        <w:t>(1), 12-23.</w:t>
      </w:r>
    </w:p>
    <w:p w:rsidR="008960F2" w:rsidRDefault="00507C44">
      <w:pPr>
        <w:spacing w:before="100" w:beforeAutospacing="1" w:after="100" w:afterAutospacing="1"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Tomlinson, C. A. (2017). *How to Differentiate Instruction in Academically Diverse Classrooms* (3rd ed.). ASCD.</w:t>
      </w:r>
    </w:p>
    <w:p w:rsidR="008960F2" w:rsidRDefault="008960F2">
      <w:pPr>
        <w:spacing w:before="100" w:beforeAutospacing="1" w:after="100" w:afterAutospacing="1" w:line="240" w:lineRule="auto"/>
        <w:ind w:left="1080" w:hanging="1080"/>
        <w:jc w:val="both"/>
        <w:rPr>
          <w:rFonts w:ascii="Times New Roman" w:eastAsia="Times New Roman" w:hAnsi="Times New Roman" w:cs="Times New Roman"/>
          <w:sz w:val="24"/>
          <w:szCs w:val="24"/>
        </w:rPr>
      </w:pPr>
    </w:p>
    <w:p w:rsidR="008960F2" w:rsidRDefault="008960F2">
      <w:pPr>
        <w:spacing w:after="0" w:line="240" w:lineRule="auto"/>
        <w:ind w:left="1080" w:hanging="1080"/>
        <w:jc w:val="both"/>
        <w:rPr>
          <w:rFonts w:ascii="Times New Roman" w:eastAsia="Times New Roman" w:hAnsi="Times New Roman" w:cs="Times New Roman"/>
          <w:sz w:val="24"/>
          <w:szCs w:val="24"/>
        </w:rPr>
      </w:pPr>
    </w:p>
    <w:sectPr w:rsidR="008960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512A27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323EE9D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9CE0DB0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1E4A46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F656ED7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multilevel"/>
    <w:tmpl w:val="A73630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multilevel"/>
    <w:tmpl w:val="13A6208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multilevel"/>
    <w:tmpl w:val="A5BA765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289C6CF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0000000A"/>
    <w:multiLevelType w:val="multilevel"/>
    <w:tmpl w:val="92AC61A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multilevel"/>
    <w:tmpl w:val="F404C3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7B4D1EAE"/>
    <w:multiLevelType w:val="multilevel"/>
    <w:tmpl w:val="608C413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10"/>
  </w:num>
  <w:num w:numId="2">
    <w:abstractNumId w:val="2"/>
  </w:num>
  <w:num w:numId="3">
    <w:abstractNumId w:val="9"/>
  </w:num>
  <w:num w:numId="4">
    <w:abstractNumId w:val="7"/>
  </w:num>
  <w:num w:numId="5">
    <w:abstractNumId w:val="4"/>
  </w:num>
  <w:num w:numId="6">
    <w:abstractNumId w:val="3"/>
  </w:num>
  <w:num w:numId="7">
    <w:abstractNumId w:val="1"/>
  </w:num>
  <w:num w:numId="8">
    <w:abstractNumId w:val="6"/>
  </w:num>
  <w:num w:numId="9">
    <w:abstractNumId w:val="5"/>
  </w:num>
  <w:num w:numId="10">
    <w:abstractNumId w:val="11"/>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0F2"/>
    <w:rsid w:val="00507C44"/>
    <w:rsid w:val="00717331"/>
    <w:rsid w:val="008960F2"/>
    <w:rsid w:val="00D901FA"/>
    <w:rsid w:val="00ED6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0208E-DD58-471F-9438-D253AAF3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SimSun"/>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41">
    <w:name w:val="citation-41"/>
    <w:basedOn w:val="DefaultParagraphFont"/>
  </w:style>
  <w:style w:type="character" w:customStyle="1" w:styleId="citation-40">
    <w:name w:val="citation-40"/>
    <w:basedOn w:val="DefaultParagraphFont"/>
  </w:style>
  <w:style w:type="character" w:customStyle="1" w:styleId="citation-39">
    <w:name w:val="citation-39"/>
    <w:basedOn w:val="DefaultParagraphFont"/>
  </w:style>
  <w:style w:type="character" w:customStyle="1" w:styleId="citation-38">
    <w:name w:val="citation-38"/>
    <w:basedOn w:val="DefaultParagraphFont"/>
  </w:style>
  <w:style w:type="character" w:customStyle="1" w:styleId="citation-37">
    <w:name w:val="citation-37"/>
    <w:basedOn w:val="DefaultParagraphFont"/>
  </w:style>
  <w:style w:type="character" w:customStyle="1" w:styleId="citation-36">
    <w:name w:val="citation-36"/>
    <w:basedOn w:val="DefaultParagraphFont"/>
  </w:style>
  <w:style w:type="character" w:customStyle="1" w:styleId="citation-35">
    <w:name w:val="citation-35"/>
    <w:basedOn w:val="DefaultParagraphFont"/>
  </w:style>
  <w:style w:type="character" w:customStyle="1" w:styleId="citation-34">
    <w:name w:val="citation-34"/>
    <w:basedOn w:val="DefaultParagraphFont"/>
  </w:style>
  <w:style w:type="character" w:customStyle="1" w:styleId="citation-33">
    <w:name w:val="citation-33"/>
    <w:basedOn w:val="DefaultParagraphFont"/>
  </w:style>
  <w:style w:type="character" w:customStyle="1" w:styleId="citation-32">
    <w:name w:val="citation-32"/>
    <w:basedOn w:val="DefaultParagraphFont"/>
  </w:style>
  <w:style w:type="character" w:customStyle="1" w:styleId="citation-31">
    <w:name w:val="citation-31"/>
    <w:basedOn w:val="DefaultParagraphFont"/>
  </w:style>
  <w:style w:type="character" w:customStyle="1" w:styleId="citation-30">
    <w:name w:val="citation-30"/>
    <w:basedOn w:val="DefaultParagraphFont"/>
  </w:style>
  <w:style w:type="character" w:customStyle="1" w:styleId="citation-29">
    <w:name w:val="citation-29"/>
    <w:basedOn w:val="DefaultParagraphFont"/>
  </w:style>
  <w:style w:type="character" w:customStyle="1" w:styleId="citation-28">
    <w:name w:val="citation-28"/>
    <w:basedOn w:val="DefaultParagraphFont"/>
  </w:style>
  <w:style w:type="character" w:customStyle="1" w:styleId="citation-27">
    <w:name w:val="citation-27"/>
    <w:basedOn w:val="DefaultParagraphFont"/>
  </w:style>
  <w:style w:type="character" w:customStyle="1" w:styleId="citation-26">
    <w:name w:val="citation-26"/>
    <w:basedOn w:val="DefaultParagraphFont"/>
  </w:style>
  <w:style w:type="character" w:customStyle="1" w:styleId="citation-25">
    <w:name w:val="citation-25"/>
    <w:basedOn w:val="DefaultParagraphFont"/>
  </w:style>
  <w:style w:type="character" w:customStyle="1" w:styleId="citation-24">
    <w:name w:val="citation-24"/>
    <w:basedOn w:val="DefaultParagraphFont"/>
  </w:style>
  <w:style w:type="character" w:customStyle="1" w:styleId="mord">
    <w:name w:val="mord"/>
    <w:basedOn w:val="DefaultParagraphFont"/>
  </w:style>
  <w:style w:type="character" w:customStyle="1" w:styleId="citation-23">
    <w:name w:val="citation-23"/>
    <w:basedOn w:val="DefaultParagraphFont"/>
  </w:style>
  <w:style w:type="character" w:customStyle="1" w:styleId="citation-22">
    <w:name w:val="citation-22"/>
    <w:basedOn w:val="DefaultParagraphFont"/>
  </w:style>
  <w:style w:type="character" w:customStyle="1" w:styleId="citation-21">
    <w:name w:val="citation-21"/>
    <w:basedOn w:val="DefaultParagraphFont"/>
  </w:style>
  <w:style w:type="character" w:customStyle="1" w:styleId="export-sheets-button">
    <w:name w:val="export-sheets-button"/>
    <w:basedOn w:val="DefaultParagraphFont"/>
  </w:style>
  <w:style w:type="character" w:customStyle="1" w:styleId="vkekvd">
    <w:name w:val="vkekvd"/>
    <w:basedOn w:val="DefaultParagraphFont"/>
  </w:style>
  <w:style w:type="character" w:styleId="Hyperlink">
    <w:name w:val="Hyperlink"/>
    <w:basedOn w:val="DefaultParagraphFont"/>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10</Pages>
  <Words>3192</Words>
  <Characters>18198</Characters>
  <Application>Microsoft Office Word</Application>
  <DocSecurity>0</DocSecurity>
  <Lines>151</Lines>
  <Paragraphs>42</Paragraphs>
  <ScaleCrop>false</ScaleCrop>
  <Company/>
  <LinksUpToDate>false</LinksUpToDate>
  <CharactersWithSpaces>21348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Microsoft account</cp:lastModifiedBy>
  <cp:revision>16</cp:revision>
  <dcterms:created xsi:type="dcterms:W3CDTF">2025-11-16T13:53:00Z</dcterms:created>
  <dcterms:modified xsi:type="dcterms:W3CDTF">2026-08-21T10:39:00Z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c971adb51674451eb17a90c4b0fe049d</vt:lpwstr>
  </property>
</Properties>
</file>