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352BD" w:rsidRDefault="00E61697">
      <w:pPr>
        <w:rPr>
          <w:rFonts w:ascii="Times New Roman" w:hAnsi="Times New Roman" w:cs="Times New Roman"/>
          <w:b/>
          <w:sz w:val="24"/>
          <w:szCs w:val="24"/>
        </w:rPr>
      </w:pPr>
      <w:r>
        <w:rPr>
          <w:rFonts w:ascii="Times New Roman" w:hAnsi="Times New Roman" w:cs="Times New Roman"/>
          <w:b/>
          <w:sz w:val="24"/>
          <w:szCs w:val="24"/>
        </w:rPr>
        <w:t xml:space="preserve">The Role of Artificial Intelligence in Transforming Computer-Based Education: Opportunities, Challenges and Future </w:t>
      </w:r>
    </w:p>
    <w:p w:rsidR="005352BD" w:rsidRDefault="00810B25">
      <w:pPr>
        <w:jc w:val="center"/>
        <w:rPr>
          <w:rFonts w:ascii="Times New Roman" w:hAnsi="Times New Roman" w:cs="Times New Roman"/>
          <w:b/>
          <w:sz w:val="24"/>
          <w:szCs w:val="24"/>
        </w:rPr>
      </w:pPr>
      <w:r>
        <w:rPr>
          <w:rFonts w:ascii="Times New Roman" w:hAnsi="Times New Roman" w:cs="Times New Roman"/>
          <w:b/>
          <w:sz w:val="24"/>
          <w:szCs w:val="24"/>
        </w:rPr>
        <w:t>Payment Pending</w:t>
      </w:r>
      <w:bookmarkStart w:id="0" w:name="_GoBack"/>
      <w:bookmarkEnd w:id="0"/>
    </w:p>
    <w:p w:rsidR="005352BD" w:rsidRDefault="00E61697">
      <w:pPr>
        <w:rPr>
          <w:rFonts w:ascii="Times New Roman" w:hAnsi="Times New Roman" w:cs="Times New Roman"/>
          <w:b/>
          <w:sz w:val="24"/>
          <w:szCs w:val="24"/>
        </w:rPr>
      </w:pPr>
      <w:r>
        <w:rPr>
          <w:rFonts w:ascii="Times New Roman" w:hAnsi="Times New Roman" w:cs="Times New Roman"/>
          <w:b/>
          <w:sz w:val="24"/>
          <w:szCs w:val="24"/>
        </w:rPr>
        <w:t>Abstract</w:t>
      </w:r>
    </w:p>
    <w:p w:rsidR="005352BD" w:rsidRDefault="00E61697">
      <w:pPr>
        <w:spacing w:line="360" w:lineRule="auto"/>
        <w:jc w:val="both"/>
        <w:rPr>
          <w:rFonts w:ascii="Times New Roman" w:hAnsi="Times New Roman" w:cs="Times New Roman"/>
          <w:i/>
          <w:sz w:val="24"/>
          <w:szCs w:val="24"/>
        </w:rPr>
      </w:pPr>
      <w:r>
        <w:rPr>
          <w:rFonts w:ascii="Times New Roman" w:hAnsi="Times New Roman" w:cs="Times New Roman"/>
          <w:sz w:val="24"/>
          <w:szCs w:val="24"/>
        </w:rPr>
        <w:br/>
      </w:r>
      <w:r>
        <w:rPr>
          <w:rFonts w:ascii="Times New Roman" w:hAnsi="Times New Roman" w:cs="Times New Roman"/>
          <w:i/>
          <w:sz w:val="24"/>
          <w:szCs w:val="24"/>
        </w:rPr>
        <w:t>Artificial Intelligence (AI) has emerged as a major force shaping modern Computer-Based Education (CBE), offering powerful tools that enhance teaching, learning, and administrative processes. This study is a review paper, it explores the role of AI on CBE by examining its theoretical foundations, historical development, and evidence-based applications across intelligent tutoring, learning analytics, automated assessment, and teacher support systems. The study highlights significant opportunities presented by AI, including personalized learning, improved accessibility, increased learner engagement, instructional efficiency, and scalable educational delivery. However, it also identifies critical challenges such as ethical concerns, data privacy risks, algorithmic bias, infrastructural limitations, teacher readiness, and high implementation costs. The paper further examines emerging future directions including hybrid AI-human teaching models, emotion-aware learning systems, intelligent content generation, block chain-enabled credentialing, and low-cost AI innovations. Finally, recommendations are offered for policymakers, educators, and institutions to ensure responsible AI integration. These include strengthening teacher training, investing in infrastructure, establishing ethical governance frameworks, promoting inclusive AI design, and supporting local research and innovation. Overall, the study concludes that AI holds tremendous potential to transform CBE, provided that stakeholders adopt a balanced approach that maximizes opportunities while addressing inherent risks.</w:t>
      </w:r>
    </w:p>
    <w:p w:rsidR="005352BD" w:rsidRDefault="00E61697">
      <w:pPr>
        <w:rPr>
          <w:rFonts w:ascii="Times New Roman" w:hAnsi="Times New Roman" w:cs="Times New Roman"/>
          <w:sz w:val="24"/>
          <w:szCs w:val="24"/>
        </w:rPr>
      </w:pPr>
      <w:r>
        <w:rPr>
          <w:rFonts w:ascii="Times New Roman" w:hAnsi="Times New Roman" w:cs="Times New Roman"/>
          <w:b/>
          <w:sz w:val="24"/>
          <w:szCs w:val="24"/>
        </w:rPr>
        <w:t>Keywords</w:t>
      </w:r>
      <w:r>
        <w:rPr>
          <w:rFonts w:ascii="Times New Roman" w:hAnsi="Times New Roman" w:cs="Times New Roman"/>
          <w:sz w:val="24"/>
          <w:szCs w:val="24"/>
        </w:rPr>
        <w:t>: artificial intelligence, computer-based education, personalized learning, learning analytics, intelligent tutoring systems.</w:t>
      </w:r>
    </w:p>
    <w:p w:rsidR="005352BD" w:rsidRDefault="005352BD">
      <w:pPr>
        <w:rPr>
          <w:rFonts w:ascii="Times New Roman" w:hAnsi="Times New Roman" w:cs="Times New Roman"/>
          <w:sz w:val="24"/>
          <w:szCs w:val="24"/>
        </w:rPr>
      </w:pPr>
    </w:p>
    <w:p w:rsidR="005352BD" w:rsidRDefault="005352BD">
      <w:pPr>
        <w:rPr>
          <w:rFonts w:ascii="Times New Roman" w:hAnsi="Times New Roman" w:cs="Times New Roman"/>
          <w:sz w:val="24"/>
          <w:szCs w:val="24"/>
        </w:rPr>
      </w:pPr>
    </w:p>
    <w:p w:rsidR="005352BD" w:rsidRDefault="005352BD">
      <w:pPr>
        <w:rPr>
          <w:rFonts w:ascii="Times New Roman" w:hAnsi="Times New Roman" w:cs="Times New Roman"/>
          <w:sz w:val="24"/>
          <w:szCs w:val="24"/>
        </w:rPr>
      </w:pPr>
    </w:p>
    <w:p w:rsidR="005352BD" w:rsidRDefault="005352BD">
      <w:pPr>
        <w:rPr>
          <w:rFonts w:ascii="Times New Roman" w:hAnsi="Times New Roman" w:cs="Times New Roman"/>
          <w:sz w:val="24"/>
          <w:szCs w:val="24"/>
        </w:rPr>
      </w:pPr>
    </w:p>
    <w:p w:rsidR="005352BD" w:rsidRDefault="005352BD">
      <w:pPr>
        <w:rPr>
          <w:rFonts w:ascii="Times New Roman" w:hAnsi="Times New Roman" w:cs="Times New Roman"/>
          <w:b/>
          <w:sz w:val="24"/>
          <w:szCs w:val="24"/>
        </w:rPr>
      </w:pPr>
    </w:p>
    <w:p w:rsidR="005352BD" w:rsidRDefault="005352BD">
      <w:pPr>
        <w:rPr>
          <w:rFonts w:ascii="Times New Roman" w:hAnsi="Times New Roman" w:cs="Times New Roman"/>
          <w:b/>
          <w:sz w:val="24"/>
          <w:szCs w:val="24"/>
        </w:rPr>
      </w:pPr>
    </w:p>
    <w:p w:rsidR="005352BD" w:rsidRDefault="00E61697">
      <w:pPr>
        <w:rPr>
          <w:rFonts w:ascii="Times New Roman" w:hAnsi="Times New Roman" w:cs="Times New Roman"/>
          <w:b/>
          <w:sz w:val="24"/>
          <w:szCs w:val="24"/>
        </w:rPr>
      </w:pPr>
      <w:r>
        <w:rPr>
          <w:rFonts w:ascii="Times New Roman" w:hAnsi="Times New Roman" w:cs="Times New Roman"/>
          <w:b/>
          <w:sz w:val="24"/>
          <w:szCs w:val="24"/>
        </w:rPr>
        <w:t>Introduction</w:t>
      </w:r>
    </w:p>
    <w:p w:rsidR="005352BD" w:rsidRDefault="00E61697">
      <w:pPr>
        <w:spacing w:after="120"/>
        <w:jc w:val="both"/>
        <w:rPr>
          <w:rFonts w:ascii="Times New Roman" w:hAnsi="Times New Roman" w:cs="Times New Roman"/>
          <w:sz w:val="24"/>
          <w:szCs w:val="24"/>
        </w:rPr>
      </w:pPr>
      <w:r>
        <w:rPr>
          <w:rFonts w:ascii="Times New Roman" w:hAnsi="Times New Roman" w:cs="Times New Roman"/>
          <w:sz w:val="24"/>
          <w:szCs w:val="24"/>
        </w:rPr>
        <w:t>Artificial Intelligence (AI) is increasingly recognized as a transformative force in modern education, redefining traditional pedagogical models and the delivery of learning experiences. Computer-Based Education (CBE) provides digital platforms for instruction, assessments, simulations, and interactive learning. With the integration of AI, these systems can now adapt to the learner’s individual pace, offer predictive feedback, and provide tailored content that aligns with each student’s knowledge level and learning preferences. Tuomi, I. (2020). For instance, AI-driven adaptive learning platforms like Dream Box Learning and Smart Sparrow can analyze student performance in real-time, identifying knowledge gaps and adjusting content to optimize understanding. The ability to provide personalized learning pathways has been shown to increase retention rates, motivation, and overall learning outcomes. Koedinger, K. (2006).</w:t>
      </w:r>
    </w:p>
    <w:p w:rsidR="005352BD" w:rsidRDefault="00E61697">
      <w:pPr>
        <w:spacing w:after="120"/>
        <w:jc w:val="both"/>
        <w:rPr>
          <w:rFonts w:ascii="Times New Roman" w:hAnsi="Times New Roman" w:cs="Times New Roman"/>
          <w:sz w:val="24"/>
          <w:szCs w:val="24"/>
        </w:rPr>
      </w:pPr>
      <w:r>
        <w:rPr>
          <w:rFonts w:ascii="Times New Roman" w:hAnsi="Times New Roman" w:cs="Times New Roman"/>
          <w:sz w:val="24"/>
          <w:szCs w:val="24"/>
        </w:rPr>
        <w:t>Despite these advantages, integrating AI into education also presents challenges. Ethical issues, such as bias in AI algorithms, concerns over privacy and data security, and inequities caused by digital divides, must be addressed to ensure equitable learning opportunities. Additionally, teachers need professional development to effectively leverage AI tools, which calls for investment in both training and infrastructure. Luckin, R., et al. (2016).</w:t>
      </w:r>
    </w:p>
    <w:p w:rsidR="005352BD" w:rsidRDefault="00E61697">
      <w:pPr>
        <w:spacing w:after="120"/>
        <w:jc w:val="both"/>
        <w:rPr>
          <w:rFonts w:ascii="Times New Roman" w:hAnsi="Times New Roman" w:cs="Times New Roman"/>
          <w:sz w:val="24"/>
          <w:szCs w:val="24"/>
        </w:rPr>
      </w:pPr>
      <w:r>
        <w:rPr>
          <w:rFonts w:ascii="Times New Roman" w:hAnsi="Times New Roman" w:cs="Times New Roman"/>
          <w:sz w:val="24"/>
          <w:szCs w:val="24"/>
        </w:rPr>
        <w:t>This paper explores AI’s role on CBE by reviewing theoretical foundations, historical evolution, applications, opportunities, challenges, future directions, and actionable recommendations. The goal is to provide a holistic understanding of how AI can enhance education while highlighting potential risks and policy considerations.</w:t>
      </w:r>
    </w:p>
    <w:p w:rsidR="005352BD" w:rsidRDefault="00E61697">
      <w:pPr>
        <w:spacing w:after="120"/>
        <w:jc w:val="both"/>
        <w:rPr>
          <w:rFonts w:ascii="Times New Roman" w:hAnsi="Times New Roman" w:cs="Times New Roman"/>
          <w:b/>
          <w:sz w:val="24"/>
          <w:szCs w:val="24"/>
        </w:rPr>
      </w:pPr>
      <w:r>
        <w:rPr>
          <w:rFonts w:ascii="Times New Roman" w:hAnsi="Times New Roman" w:cs="Times New Roman"/>
          <w:b/>
          <w:sz w:val="24"/>
          <w:szCs w:val="24"/>
        </w:rPr>
        <w:t>Theoretical and Historical Background</w:t>
      </w:r>
    </w:p>
    <w:p w:rsidR="005352BD" w:rsidRDefault="00E61697">
      <w:pPr>
        <w:spacing w:after="120"/>
        <w:jc w:val="both"/>
        <w:rPr>
          <w:rFonts w:ascii="Times New Roman" w:hAnsi="Times New Roman" w:cs="Times New Roman"/>
          <w:sz w:val="24"/>
          <w:szCs w:val="24"/>
        </w:rPr>
      </w:pPr>
      <w:r>
        <w:rPr>
          <w:rFonts w:ascii="Times New Roman" w:hAnsi="Times New Roman" w:cs="Times New Roman"/>
          <w:sz w:val="24"/>
          <w:szCs w:val="24"/>
        </w:rPr>
        <w:t>The theoretical underpinning of AI in education spans multiple learning paradigms, including behaviorism, cognitivistsm, constructivism, and humanism. Behaviorist principles support systems that provide immediate reinforcement or corrective feedback based on learner responses, such as early drill-and-practice software. Cognitivist theories inform ITS designs that model learner knowledge and detect misconceptions. Constructivist approaches encourage learners to engage in exploration and problem-solving, fostering critical thinking skills. Humanistic approaches emphasize learner autonomy, motivation, and the socio-emotional aspects of learning, which can be addressed by AI systems capable of emotion detection and adaptive feedback. Russell, S. (2016).</w:t>
      </w:r>
    </w:p>
    <w:p w:rsidR="005352BD" w:rsidRDefault="00E61697">
      <w:pPr>
        <w:spacing w:after="120"/>
        <w:jc w:val="both"/>
        <w:rPr>
          <w:rFonts w:ascii="Times New Roman" w:hAnsi="Times New Roman" w:cs="Times New Roman"/>
          <w:sz w:val="24"/>
          <w:szCs w:val="24"/>
        </w:rPr>
      </w:pPr>
      <w:r>
        <w:rPr>
          <w:rFonts w:ascii="Times New Roman" w:hAnsi="Times New Roman" w:cs="Times New Roman"/>
          <w:sz w:val="24"/>
          <w:szCs w:val="24"/>
        </w:rPr>
        <w:lastRenderedPageBreak/>
        <w:t>Historically, AI in education began in the 1960s with expert systems that replicated decision-making processes of human experts. The 1970s and 1980s saw the development of Intelligent Tutoring Systems (ITS), such as scholar for geography and guidon for medical education, which provided individualized guidance. Early ITS systems paved the way for modern AI-driven platforms. Russell, S. (2016).</w:t>
      </w:r>
    </w:p>
    <w:p w:rsidR="005352BD" w:rsidRDefault="00E61697">
      <w:pPr>
        <w:spacing w:after="120"/>
        <w:jc w:val="both"/>
        <w:rPr>
          <w:rFonts w:ascii="Times New Roman" w:hAnsi="Times New Roman" w:cs="Times New Roman"/>
          <w:sz w:val="24"/>
          <w:szCs w:val="24"/>
        </w:rPr>
      </w:pPr>
      <w:r>
        <w:rPr>
          <w:rFonts w:ascii="Times New Roman" w:hAnsi="Times New Roman" w:cs="Times New Roman"/>
          <w:sz w:val="24"/>
          <w:szCs w:val="24"/>
        </w:rPr>
        <w:t>The 1990s introduced Computer-Assisted Instruction (CAI), which delivered structured content but lacked deep personalization. The rise of machine learning in the 2000s enabled systems to analyze student performance and predict outcomes. In the 2010s, deep learning and natural language processing revolutionized automated grading, chat-based learning, and virtual tutoring. Modern AI-enhanced CBE platforms now integrate multimodal analytics, emotion recognition, and adaptive simulations to create immersive learning experiences.</w:t>
      </w:r>
    </w:p>
    <w:p w:rsidR="005352BD" w:rsidRDefault="00E61697">
      <w:pPr>
        <w:spacing w:after="120"/>
        <w:jc w:val="both"/>
        <w:rPr>
          <w:rFonts w:ascii="Times New Roman" w:hAnsi="Times New Roman" w:cs="Times New Roman"/>
          <w:b/>
          <w:sz w:val="24"/>
          <w:szCs w:val="24"/>
        </w:rPr>
      </w:pPr>
      <w:r>
        <w:rPr>
          <w:rFonts w:ascii="Times New Roman" w:hAnsi="Times New Roman" w:cs="Times New Roman"/>
          <w:b/>
          <w:sz w:val="24"/>
          <w:szCs w:val="24"/>
        </w:rPr>
        <w:t>Evidence of AI’s Impact on Computer-Based Education</w:t>
      </w:r>
    </w:p>
    <w:p w:rsidR="005352BD" w:rsidRDefault="00E61697">
      <w:pPr>
        <w:spacing w:after="120"/>
        <w:jc w:val="both"/>
        <w:rPr>
          <w:rFonts w:ascii="Times New Roman" w:hAnsi="Times New Roman" w:cs="Times New Roman"/>
          <w:sz w:val="24"/>
          <w:szCs w:val="24"/>
        </w:rPr>
      </w:pPr>
      <w:r>
        <w:rPr>
          <w:rFonts w:ascii="Times New Roman" w:hAnsi="Times New Roman" w:cs="Times New Roman"/>
          <w:sz w:val="24"/>
          <w:szCs w:val="24"/>
        </w:rPr>
        <w:t>AI's impact on CBE is evident through its applications in intelligent tutoring systems, learning analytics, automated assessment, and teacher support.</w:t>
      </w:r>
    </w:p>
    <w:p w:rsidR="005352BD" w:rsidRDefault="00E61697">
      <w:pPr>
        <w:spacing w:after="120"/>
        <w:jc w:val="both"/>
        <w:rPr>
          <w:rFonts w:ascii="Times New Roman" w:hAnsi="Times New Roman" w:cs="Times New Roman"/>
          <w:sz w:val="24"/>
          <w:szCs w:val="24"/>
        </w:rPr>
      </w:pPr>
      <w:r>
        <w:rPr>
          <w:rFonts w:ascii="Times New Roman" w:hAnsi="Times New Roman" w:cs="Times New Roman"/>
          <w:sz w:val="24"/>
          <w:szCs w:val="24"/>
        </w:rPr>
        <w:t>Intelligent Tutoring Systems (ITS): ITS platforms replicate one-on-one tutoring by delivering personalized instruction. These systems track learner behavior, forecast performance, and adjust content accordingly. For instance, Carnegie Learning’s mathia uses machine learning to identify learner misconceptions and provide individualized exercises. Numerous studies confirm that ITS can achieve learning gains comparable to human tutoring. Zawacki R. (2019).</w:t>
      </w:r>
    </w:p>
    <w:p w:rsidR="005352BD" w:rsidRDefault="00E61697">
      <w:pPr>
        <w:spacing w:after="120"/>
        <w:jc w:val="both"/>
        <w:rPr>
          <w:rFonts w:ascii="Times New Roman" w:hAnsi="Times New Roman" w:cs="Times New Roman"/>
          <w:sz w:val="24"/>
          <w:szCs w:val="24"/>
        </w:rPr>
      </w:pPr>
      <w:r>
        <w:rPr>
          <w:rFonts w:ascii="Times New Roman" w:hAnsi="Times New Roman" w:cs="Times New Roman"/>
          <w:sz w:val="24"/>
          <w:szCs w:val="24"/>
        </w:rPr>
        <w:t>Learning Analytics and Predictive Modeling: AI-powered learning analytics support data-driven decision-making. These systems analyze learner interactions, performance patterns, and engagement metrics to identify at-risk students and predict outcomes. Platforms like Canvas and Moodle integrate dashboards that provide real-time insights. Predictive analytics enable early interventions and improve academic success. Luckin, R. (2018).</w:t>
      </w:r>
    </w:p>
    <w:p w:rsidR="005352BD" w:rsidRDefault="00E61697">
      <w:pPr>
        <w:pStyle w:val="ListParagraph"/>
        <w:numPr>
          <w:ilvl w:val="0"/>
          <w:numId w:val="7"/>
        </w:numPr>
        <w:spacing w:after="120"/>
        <w:jc w:val="both"/>
        <w:rPr>
          <w:rFonts w:ascii="Times New Roman" w:hAnsi="Times New Roman" w:cs="Times New Roman"/>
          <w:sz w:val="24"/>
          <w:szCs w:val="24"/>
        </w:rPr>
      </w:pPr>
      <w:r>
        <w:rPr>
          <w:rFonts w:ascii="Times New Roman" w:hAnsi="Times New Roman" w:cs="Times New Roman"/>
          <w:sz w:val="24"/>
          <w:szCs w:val="24"/>
        </w:rPr>
        <w:t>Automated Assessment: AI automates grading of multiple-choice questions, essays, programming assignments, and problem-solving tasks. Systems such as Grade scope and Turnitin provide instant feedback, ensuring efficiency and reducing teacher workload.</w:t>
      </w:r>
    </w:p>
    <w:p w:rsidR="005352BD" w:rsidRDefault="00E61697">
      <w:pPr>
        <w:spacing w:after="120"/>
        <w:jc w:val="both"/>
        <w:rPr>
          <w:rFonts w:ascii="Times New Roman" w:hAnsi="Times New Roman" w:cs="Times New Roman"/>
          <w:sz w:val="24"/>
          <w:szCs w:val="24"/>
        </w:rPr>
      </w:pPr>
      <w:r>
        <w:rPr>
          <w:rFonts w:ascii="Times New Roman" w:hAnsi="Times New Roman" w:cs="Times New Roman"/>
          <w:sz w:val="24"/>
          <w:szCs w:val="24"/>
        </w:rPr>
        <w:t>Teacher Support: AI enhances productivity by automating administrative tasks, suggesting instructional resources, and creating adaptive lesson plans. ChatGPT and other tools assist in drafting lesson notes, quizzes, and exercises tailored to specific student needs. Russell, S. (2016).</w:t>
      </w:r>
    </w:p>
    <w:p w:rsidR="005352BD" w:rsidRDefault="00E61697">
      <w:pPr>
        <w:spacing w:after="120"/>
        <w:jc w:val="both"/>
        <w:rPr>
          <w:rFonts w:ascii="Times New Roman" w:hAnsi="Times New Roman" w:cs="Times New Roman"/>
          <w:b/>
          <w:sz w:val="24"/>
          <w:szCs w:val="24"/>
        </w:rPr>
      </w:pPr>
      <w:r>
        <w:rPr>
          <w:rFonts w:ascii="Times New Roman" w:hAnsi="Times New Roman" w:cs="Times New Roman"/>
          <w:b/>
          <w:sz w:val="24"/>
          <w:szCs w:val="24"/>
        </w:rPr>
        <w:t>Opportunities Created by AI in CBE</w:t>
      </w:r>
    </w:p>
    <w:p w:rsidR="005352BD" w:rsidRDefault="00E61697">
      <w:pPr>
        <w:spacing w:after="120"/>
        <w:jc w:val="both"/>
        <w:rPr>
          <w:rFonts w:ascii="Times New Roman" w:hAnsi="Times New Roman" w:cs="Times New Roman"/>
          <w:sz w:val="24"/>
          <w:szCs w:val="24"/>
        </w:rPr>
      </w:pPr>
      <w:r>
        <w:rPr>
          <w:rFonts w:ascii="Times New Roman" w:hAnsi="Times New Roman" w:cs="Times New Roman"/>
          <w:sz w:val="24"/>
          <w:szCs w:val="24"/>
        </w:rPr>
        <w:t>Personalized Learning: AI provides adaptive content and learning sequences based on real-time assessment of student strengths, weaknesses, and preferences.</w:t>
      </w:r>
    </w:p>
    <w:p w:rsidR="005352BD" w:rsidRDefault="00E61697">
      <w:pPr>
        <w:spacing w:after="120"/>
        <w:jc w:val="both"/>
        <w:rPr>
          <w:rFonts w:ascii="Times New Roman" w:hAnsi="Times New Roman" w:cs="Times New Roman"/>
          <w:sz w:val="24"/>
          <w:szCs w:val="24"/>
        </w:rPr>
      </w:pPr>
      <w:r>
        <w:rPr>
          <w:rFonts w:ascii="Times New Roman" w:hAnsi="Times New Roman" w:cs="Times New Roman"/>
          <w:sz w:val="24"/>
          <w:szCs w:val="24"/>
        </w:rPr>
        <w:lastRenderedPageBreak/>
        <w:t>Improved Accessibility: Text-to-speech, speech-to-text, automated translation, and assistive technologies enable inclusive education for learners with disabilities or language barriers. Immersive Learning: AR, VR, and gamification tools integrated with AI create engaging, interactive learning environments. Labster’s virtual labs allow students to perform experiments safely and cost-effectively. Efficiency: AI reduces administrative workload through automated grading, scheduling, and reporting, freeing teachers to focus on mentoring and individualized instruction. Scalable Education: AI-powered systems support large-scale education initiatives through MOOCs, virtual academies, and cloud-based learning platforms. Zawacki R. (2019).</w:t>
      </w:r>
    </w:p>
    <w:p w:rsidR="005352BD" w:rsidRDefault="00E61697">
      <w:pPr>
        <w:spacing w:after="120"/>
        <w:jc w:val="both"/>
        <w:rPr>
          <w:rFonts w:ascii="Times New Roman" w:hAnsi="Times New Roman" w:cs="Times New Roman"/>
          <w:b/>
          <w:sz w:val="24"/>
          <w:szCs w:val="24"/>
        </w:rPr>
      </w:pPr>
      <w:r>
        <w:rPr>
          <w:rFonts w:ascii="Times New Roman" w:hAnsi="Times New Roman" w:cs="Times New Roman"/>
          <w:b/>
          <w:sz w:val="24"/>
          <w:szCs w:val="24"/>
        </w:rPr>
        <w:t>Challenges and Risks</w:t>
      </w:r>
    </w:p>
    <w:p w:rsidR="005352BD" w:rsidRDefault="00E61697">
      <w:pPr>
        <w:jc w:val="both"/>
        <w:rPr>
          <w:rFonts w:ascii="Times New Roman" w:hAnsi="Times New Roman" w:cs="Times New Roman"/>
          <w:sz w:val="24"/>
          <w:szCs w:val="24"/>
        </w:rPr>
      </w:pPr>
      <w:r>
        <w:rPr>
          <w:rFonts w:ascii="Times New Roman" w:hAnsi="Times New Roman" w:cs="Times New Roman"/>
          <w:sz w:val="24"/>
          <w:szCs w:val="24"/>
        </w:rPr>
        <w:t>EthicalandPrivacyIssues</w:t>
      </w:r>
      <w:r>
        <w:rPr>
          <w:rFonts w:ascii="Times New Roman" w:hAnsi="Times New Roman" w:cs="Times New Roman"/>
          <w:sz w:val="24"/>
          <w:szCs w:val="24"/>
        </w:rPr>
        <w:br/>
        <w:t>AI systems depend on collecting and analyzing large volumes of student data, including performance records, behavioral patterns, personal information, and learning preferences. While this data enhances personalization, it also raises major ethical and privacy concerns. Risks such as unauthorized access, data breaches, and misuse of sensitive information can compromise learners’ safety. Additionally, the increasing use of AI-powered monitoring tools has sparked debates about surveillance, data ownership, informed consent, and the extent to which students’ digital activities should be tracked. Ensuring strict data governance frameworks, transparency, and compliance with privacy regulations is essential. (UNESCO, 2021).</w:t>
      </w:r>
    </w:p>
    <w:p w:rsidR="005352BD" w:rsidRDefault="00E61697">
      <w:pPr>
        <w:jc w:val="both"/>
        <w:rPr>
          <w:rFonts w:ascii="Times New Roman" w:hAnsi="Times New Roman" w:cs="Times New Roman"/>
          <w:sz w:val="24"/>
          <w:szCs w:val="24"/>
        </w:rPr>
      </w:pPr>
      <w:r>
        <w:rPr>
          <w:rFonts w:ascii="Times New Roman" w:hAnsi="Times New Roman" w:cs="Times New Roman"/>
          <w:sz w:val="24"/>
          <w:szCs w:val="24"/>
        </w:rPr>
        <w:t>AlgorithmicBias</w:t>
      </w:r>
      <w:r>
        <w:rPr>
          <w:rFonts w:ascii="Times New Roman" w:hAnsi="Times New Roman" w:cs="Times New Roman"/>
          <w:sz w:val="24"/>
          <w:szCs w:val="24"/>
        </w:rPr>
        <w:br/>
        <w:t>AI models can unintentionally reinforce social, cultural, or gender-based biases if they are trained on incomplete or skewed data. This bias may distort assessments, misjudge students’ abilities, or offer unfair learning recommendations. For example, marginalized groups may receive lower-quality feedback or fewer opportunities for advanced learning pathways. Without intentional design, diverse datasets, and routine audits for fairness, AI risks widening existing educational inequalities rather than reducing them. Zawacki R. (2019).</w:t>
      </w:r>
    </w:p>
    <w:p w:rsidR="005352BD" w:rsidRDefault="00E61697">
      <w:pPr>
        <w:jc w:val="both"/>
        <w:rPr>
          <w:rFonts w:ascii="Times New Roman" w:hAnsi="Times New Roman" w:cs="Times New Roman"/>
          <w:sz w:val="24"/>
          <w:szCs w:val="24"/>
        </w:rPr>
      </w:pPr>
      <w:r>
        <w:rPr>
          <w:rFonts w:ascii="Times New Roman" w:hAnsi="Times New Roman" w:cs="Times New Roman"/>
          <w:sz w:val="24"/>
          <w:szCs w:val="24"/>
        </w:rPr>
        <w:t>InfrastructureGaps</w:t>
      </w:r>
      <w:r>
        <w:rPr>
          <w:rFonts w:ascii="Times New Roman" w:hAnsi="Times New Roman" w:cs="Times New Roman"/>
          <w:sz w:val="24"/>
          <w:szCs w:val="24"/>
        </w:rPr>
        <w:br/>
        <w:t>The effectiveness of AI in education relies on reliable technological infrastructure. In many developing regions, limited internet bandwidth, unstable electricity supply, and insufficient access to digital devices pose significant barriers. These challenges hinder the deployment, maintenance, and consistent utilization of AI tools in classrooms. As a result, students and teachers in underserved communities may be excluded from AI-enabled learning opportunities, further increasing the digital divide. (UNESCO, 2021).</w:t>
      </w:r>
    </w:p>
    <w:p w:rsidR="005352BD" w:rsidRDefault="00E61697">
      <w:pPr>
        <w:jc w:val="both"/>
        <w:rPr>
          <w:rFonts w:ascii="Times New Roman" w:hAnsi="Times New Roman" w:cs="Times New Roman"/>
          <w:sz w:val="24"/>
          <w:szCs w:val="24"/>
        </w:rPr>
      </w:pPr>
      <w:r>
        <w:rPr>
          <w:rFonts w:ascii="Times New Roman" w:hAnsi="Times New Roman" w:cs="Times New Roman"/>
          <w:sz w:val="24"/>
          <w:szCs w:val="24"/>
        </w:rPr>
        <w:t>Teacher-Readiness</w:t>
      </w:r>
      <w:r>
        <w:rPr>
          <w:rFonts w:ascii="Times New Roman" w:hAnsi="Times New Roman" w:cs="Times New Roman"/>
          <w:sz w:val="24"/>
          <w:szCs w:val="24"/>
        </w:rPr>
        <w:br/>
        <w:t xml:space="preserve">Teachers play a central role in integrating AI into the learning environment, yet many lack adequate digital literacy or confidence in using advanced technologies. Resistance to </w:t>
      </w:r>
      <w:r>
        <w:rPr>
          <w:rFonts w:ascii="Times New Roman" w:hAnsi="Times New Roman" w:cs="Times New Roman"/>
          <w:sz w:val="24"/>
          <w:szCs w:val="24"/>
        </w:rPr>
        <w:lastRenderedPageBreak/>
        <w:t>change, fear of job displacement, and limited hands-on experience with AI tools can impede adoption. Professional development programs—focusing on digital skills, pedagogical integration, and ethical use of AI—are essential to empower teachers and ensure that technology enhances rather than disrupts teaching practice. Luckin, R. (2018).</w:t>
      </w:r>
    </w:p>
    <w:p w:rsidR="005352BD" w:rsidRDefault="00E61697">
      <w:pPr>
        <w:jc w:val="both"/>
        <w:rPr>
          <w:rFonts w:ascii="Times New Roman" w:hAnsi="Times New Roman" w:cs="Times New Roman"/>
          <w:sz w:val="24"/>
          <w:szCs w:val="24"/>
        </w:rPr>
      </w:pPr>
      <w:r>
        <w:rPr>
          <w:rFonts w:ascii="Times New Roman" w:hAnsi="Times New Roman" w:cs="Times New Roman"/>
          <w:sz w:val="24"/>
          <w:szCs w:val="24"/>
        </w:rPr>
        <w:t>High-Costs</w:t>
      </w:r>
      <w:r>
        <w:rPr>
          <w:rFonts w:ascii="Times New Roman" w:hAnsi="Times New Roman" w:cs="Times New Roman"/>
          <w:sz w:val="24"/>
          <w:szCs w:val="24"/>
        </w:rPr>
        <w:br/>
        <w:t xml:space="preserve">Implementing AI in education requires substantial financial investment. Schools and institutions must budget for specialized software, powerful hardware, reliable connectivity, teacher training, technical support, and long-term system maintenance. For low-income schools and countries, these costs can be prohibitive, making it difficult to sustain AI initiatives. Without adequate funding models, partnerships, and government support, many institutions may struggle to adopt or scale AI solutions effectively. </w:t>
      </w:r>
      <w:r>
        <w:rPr>
          <w:rFonts w:ascii="Times New Roman" w:eastAsia="Calibri" w:hAnsi="Times New Roman" w:cs="Times New Roman"/>
          <w:sz w:val="24"/>
          <w:szCs w:val="24"/>
        </w:rPr>
        <w:t>Chen, X.(2020).</w:t>
      </w:r>
    </w:p>
    <w:p w:rsidR="005352BD" w:rsidRDefault="00E61697">
      <w:pPr>
        <w:spacing w:after="120"/>
        <w:jc w:val="both"/>
        <w:rPr>
          <w:rFonts w:ascii="Times New Roman" w:hAnsi="Times New Roman" w:cs="Times New Roman"/>
          <w:b/>
          <w:sz w:val="24"/>
          <w:szCs w:val="24"/>
        </w:rPr>
      </w:pPr>
      <w:r>
        <w:rPr>
          <w:rFonts w:ascii="Times New Roman" w:hAnsi="Times New Roman" w:cs="Times New Roman"/>
          <w:b/>
          <w:sz w:val="24"/>
          <w:szCs w:val="24"/>
        </w:rPr>
        <w:t>Teacher Training Gaps</w:t>
      </w:r>
    </w:p>
    <w:p w:rsidR="005352BD" w:rsidRDefault="00E61697">
      <w:pPr>
        <w:spacing w:after="120"/>
        <w:jc w:val="both"/>
        <w:rPr>
          <w:rFonts w:ascii="Times New Roman" w:hAnsi="Times New Roman" w:cs="Times New Roman"/>
          <w:b/>
          <w:sz w:val="24"/>
          <w:szCs w:val="24"/>
        </w:rPr>
      </w:pPr>
      <w:r>
        <w:rPr>
          <w:rFonts w:ascii="Times New Roman" w:hAnsi="Times New Roman" w:cs="Times New Roman"/>
          <w:sz w:val="24"/>
          <w:szCs w:val="24"/>
        </w:rPr>
        <w:t>A major challenge in the integration of artificial intelligence (AI) in education is the insufficient level of digital literacy and pedagogical readiness among teachers. Many educators lack the technical skills required to effectively operate AI-powered tools such as adaptive learning platforms, automated assessment systems, and intelligent tutoring applications. This skills gap often results in the underutilization or misuse of AI technologies, thereby limiting their potential impact on teaching and learning outcomes. Luckin, R. (2018).</w:t>
      </w:r>
      <w:r>
        <w:rPr>
          <w:rFonts w:ascii="Times New Roman" w:hAnsi="Times New Roman" w:cs="Times New Roman"/>
          <w:b/>
          <w:sz w:val="24"/>
          <w:szCs w:val="24"/>
        </w:rPr>
        <w:t xml:space="preserve"> </w:t>
      </w:r>
      <w:r>
        <w:rPr>
          <w:rFonts w:ascii="Times New Roman" w:hAnsi="Times New Roman" w:cs="Times New Roman"/>
          <w:sz w:val="24"/>
          <w:szCs w:val="24"/>
        </w:rPr>
        <w:t>In many school systems—particularly in developing contexts—teachers receive minimal exposure to AI concepts, data literacy, or digital pedagogy during their pre-service training. As a result, they may feel overwhelmed or resistant when new AI-based systems are introduced. Research shows that without proper training, teachers tend to revert to traditional teaching methods, even when advanced digital tools are available (Holmes et al., 2022). Continuous professional development is therefore essential for successful AI adoption. Training programs should focus not only on technical skills but also on ethical considerations, data privacy, pedagogical integration, and strategies for guiding students in AI-supported learning environments. When teachers are adequately trained, they are better positioned to facilitate student-centered learning, interpret AI-generated insights, and use technology to improve instructional quality (UNESCO, 2021). Thus, meaningful capacity-building initiatives must accompany any attempt to embed AI tools in education.</w:t>
      </w:r>
    </w:p>
    <w:p w:rsidR="005352BD" w:rsidRDefault="00E61697">
      <w:pPr>
        <w:spacing w:after="120"/>
        <w:jc w:val="both"/>
        <w:rPr>
          <w:rFonts w:ascii="Times New Roman" w:hAnsi="Times New Roman" w:cs="Times New Roman"/>
          <w:b/>
          <w:sz w:val="24"/>
          <w:szCs w:val="24"/>
        </w:rPr>
      </w:pPr>
      <w:r>
        <w:rPr>
          <w:rFonts w:ascii="Times New Roman" w:hAnsi="Times New Roman" w:cs="Times New Roman"/>
          <w:b/>
          <w:sz w:val="24"/>
          <w:szCs w:val="24"/>
        </w:rPr>
        <w:t>Future Directions</w:t>
      </w:r>
    </w:p>
    <w:p w:rsidR="005352BD" w:rsidRDefault="00E61697">
      <w:pPr>
        <w:jc w:val="both"/>
        <w:rPr>
          <w:rFonts w:ascii="Times New Roman" w:hAnsi="Times New Roman" w:cs="Times New Roman"/>
          <w:sz w:val="24"/>
          <w:szCs w:val="24"/>
        </w:rPr>
      </w:pPr>
      <w:r>
        <w:rPr>
          <w:rFonts w:ascii="Times New Roman" w:hAnsi="Times New Roman" w:cs="Times New Roman"/>
          <w:sz w:val="24"/>
          <w:szCs w:val="24"/>
        </w:rPr>
        <w:t>Hybrid AI–Human Teaching Models:</w:t>
      </w:r>
    </w:p>
    <w:p w:rsidR="005352BD" w:rsidRDefault="00E61697">
      <w:pPr>
        <w:jc w:val="both"/>
        <w:rPr>
          <w:rFonts w:ascii="Times New Roman" w:hAnsi="Times New Roman" w:cs="Times New Roman"/>
          <w:sz w:val="24"/>
          <w:szCs w:val="24"/>
        </w:rPr>
      </w:pPr>
      <w:r>
        <w:rPr>
          <w:rFonts w:ascii="Times New Roman" w:hAnsi="Times New Roman" w:cs="Times New Roman"/>
          <w:sz w:val="24"/>
          <w:szCs w:val="24"/>
        </w:rPr>
        <w:t xml:space="preserve">Hybrid instructional models blend the strengths of artificial intelligence with the irreplaceable human touch of teachers. While AI handles routine and repetitive tasks—such as grading objective assessments, tracking learner progress, generating personalized practice exercises, and monitoring learning analytics—teachers are freed to concentrate on </w:t>
      </w:r>
      <w:r>
        <w:rPr>
          <w:rFonts w:ascii="Times New Roman" w:hAnsi="Times New Roman" w:cs="Times New Roman"/>
          <w:sz w:val="24"/>
          <w:szCs w:val="24"/>
        </w:rPr>
        <w:lastRenderedPageBreak/>
        <w:t>higher-order responsibilities. These include fostering creativity, guiding ethical reasoning, supporting students’ socio-emotional development, and providing mentorship. Such collaboration leads to more efficient classrooms where technology enhances, rather than replaces, human expertise. Aleven, V. (2016).</w:t>
      </w:r>
    </w:p>
    <w:p w:rsidR="005352BD" w:rsidRDefault="00E61697">
      <w:pPr>
        <w:jc w:val="both"/>
        <w:rPr>
          <w:rFonts w:ascii="Times New Roman" w:hAnsi="Times New Roman" w:cs="Times New Roman"/>
          <w:sz w:val="24"/>
          <w:szCs w:val="24"/>
        </w:rPr>
      </w:pPr>
      <w:r>
        <w:rPr>
          <w:rFonts w:ascii="Times New Roman" w:hAnsi="Times New Roman" w:cs="Times New Roman"/>
          <w:sz w:val="24"/>
          <w:szCs w:val="24"/>
        </w:rPr>
        <w:t>Emotion-Aware Learning Systems:</w:t>
      </w:r>
    </w:p>
    <w:p w:rsidR="005352BD" w:rsidRDefault="00E61697">
      <w:pPr>
        <w:jc w:val="both"/>
        <w:rPr>
          <w:rFonts w:ascii="Times New Roman" w:hAnsi="Times New Roman" w:cs="Times New Roman"/>
          <w:sz w:val="24"/>
          <w:szCs w:val="24"/>
        </w:rPr>
      </w:pPr>
      <w:r>
        <w:rPr>
          <w:rFonts w:ascii="Times New Roman" w:hAnsi="Times New Roman" w:cs="Times New Roman"/>
          <w:sz w:val="24"/>
          <w:szCs w:val="24"/>
        </w:rPr>
        <w:t>Advances in affective computing allow AI systems to interpret students’ emotional states using cues such as facial expressions, tone of voice, eye movement patterns, and physiological signals (e.g., heart rate or skin conductance). When learners show signs of confusion, frustration, or disengagement, the system can adapt instruction by offering hints, slowing the pace, providing motivational prompts, or switching to alternative content formats. Emotion-aware technology supports holistic learning by addressing psychological needs alongside cognitive ones. Luckin, R. (2018).</w:t>
      </w:r>
    </w:p>
    <w:p w:rsidR="005352BD" w:rsidRDefault="00E61697">
      <w:pPr>
        <w:jc w:val="both"/>
        <w:rPr>
          <w:rFonts w:ascii="Times New Roman" w:hAnsi="Times New Roman" w:cs="Times New Roman"/>
          <w:sz w:val="24"/>
          <w:szCs w:val="24"/>
        </w:rPr>
      </w:pPr>
      <w:r>
        <w:rPr>
          <w:rFonts w:ascii="Times New Roman" w:hAnsi="Times New Roman" w:cs="Times New Roman"/>
          <w:sz w:val="24"/>
          <w:szCs w:val="24"/>
        </w:rPr>
        <w:t>AI-Generated Content:</w:t>
      </w:r>
    </w:p>
    <w:p w:rsidR="005352BD" w:rsidRDefault="00E61697">
      <w:pPr>
        <w:jc w:val="both"/>
        <w:rPr>
          <w:rFonts w:ascii="Times New Roman" w:hAnsi="Times New Roman" w:cs="Times New Roman"/>
          <w:sz w:val="24"/>
          <w:szCs w:val="24"/>
        </w:rPr>
      </w:pPr>
      <w:r>
        <w:rPr>
          <w:rFonts w:ascii="Times New Roman" w:hAnsi="Times New Roman" w:cs="Times New Roman"/>
          <w:sz w:val="24"/>
          <w:szCs w:val="24"/>
        </w:rPr>
        <w:t>AI can dynamically create textbooks, quizzes, reading passages, simulations, and multimedia learning materials tailored to curriculum standards and learner profiles. These resources can be updated instantly, localized for cultural relevance, and differentiated for varying ability levels. This capability significantly reduces teachers’ workload, accelerates curriculum development, and ensures that learning materials remain current, engaging, and aligned with instructional goals. (Holmes et al., 2022).</w:t>
      </w:r>
    </w:p>
    <w:p w:rsidR="005352BD" w:rsidRDefault="00E61697">
      <w:pPr>
        <w:jc w:val="both"/>
        <w:rPr>
          <w:rFonts w:ascii="Times New Roman" w:hAnsi="Times New Roman" w:cs="Times New Roman"/>
          <w:sz w:val="24"/>
          <w:szCs w:val="24"/>
        </w:rPr>
      </w:pPr>
      <w:r>
        <w:rPr>
          <w:rFonts w:ascii="Times New Roman" w:hAnsi="Times New Roman" w:cs="Times New Roman"/>
          <w:sz w:val="24"/>
          <w:szCs w:val="24"/>
        </w:rPr>
        <w:t>Block chain Credentialing:</w:t>
      </w:r>
    </w:p>
    <w:p w:rsidR="005352BD" w:rsidRDefault="00E61697">
      <w:pPr>
        <w:jc w:val="both"/>
        <w:rPr>
          <w:rFonts w:ascii="Times New Roman" w:hAnsi="Times New Roman" w:cs="Times New Roman"/>
          <w:sz w:val="24"/>
          <w:szCs w:val="24"/>
        </w:rPr>
      </w:pPr>
      <w:r>
        <w:rPr>
          <w:rFonts w:ascii="Times New Roman" w:hAnsi="Times New Roman" w:cs="Times New Roman"/>
          <w:sz w:val="24"/>
          <w:szCs w:val="24"/>
        </w:rPr>
        <w:t>Integrating block chain technology with AI enhances the security, transparency, and authenticity of academic records. Block chain-based credentialing allows institutions to issue tamper-proof certificates, transcripts, and badges that are verifiable by employers and other schools. AI further supports this ecosystem by automating verification processes, detecting fraudulent records, and aligning credentials with competency-based or skills-based frameworks. Chen, X. (2020).</w:t>
      </w:r>
    </w:p>
    <w:p w:rsidR="005352BD" w:rsidRDefault="00E61697">
      <w:pPr>
        <w:jc w:val="both"/>
        <w:rPr>
          <w:rFonts w:ascii="Times New Roman" w:hAnsi="Times New Roman" w:cs="Times New Roman"/>
          <w:sz w:val="24"/>
          <w:szCs w:val="24"/>
        </w:rPr>
      </w:pPr>
      <w:r>
        <w:rPr>
          <w:rFonts w:ascii="Times New Roman" w:hAnsi="Times New Roman" w:cs="Times New Roman"/>
          <w:sz w:val="24"/>
          <w:szCs w:val="24"/>
        </w:rPr>
        <w:t>Low-Cost Solutions:</w:t>
      </w:r>
    </w:p>
    <w:p w:rsidR="005352BD" w:rsidRDefault="00E61697">
      <w:pPr>
        <w:jc w:val="both"/>
        <w:rPr>
          <w:rFonts w:ascii="Times New Roman" w:hAnsi="Times New Roman" w:cs="Times New Roman"/>
          <w:sz w:val="24"/>
          <w:szCs w:val="24"/>
        </w:rPr>
      </w:pPr>
      <w:r>
        <w:rPr>
          <w:rFonts w:ascii="Times New Roman" w:hAnsi="Times New Roman" w:cs="Times New Roman"/>
          <w:sz w:val="24"/>
          <w:szCs w:val="24"/>
        </w:rPr>
        <w:t>To promote equitable access, especially in resource-constrained regions, low-cost and open-source AI tools are essential. Offline-compatible AI applications, lightweight mobile learning platforms, and locally hosted models enable schools with limited internet bandwidth or unstable electricity to still benefit from AI innovation. These solutions ensure that technological advancements in education do not widen existing inequalities but instead help bridge the digital divide. Holmes, W. (2022).</w:t>
      </w:r>
    </w:p>
    <w:p w:rsidR="005352BD" w:rsidRDefault="00E61697">
      <w:pPr>
        <w:jc w:val="both"/>
        <w:rPr>
          <w:rFonts w:ascii="Times New Roman" w:hAnsi="Times New Roman" w:cs="Times New Roman"/>
          <w:b/>
          <w:sz w:val="24"/>
          <w:szCs w:val="24"/>
        </w:rPr>
      </w:pPr>
      <w:r>
        <w:rPr>
          <w:rFonts w:ascii="Times New Roman" w:hAnsi="Times New Roman" w:cs="Times New Roman"/>
          <w:b/>
          <w:sz w:val="24"/>
          <w:szCs w:val="24"/>
        </w:rPr>
        <w:t>Designing AI-Driven Adaptive Learning Systems for Enhanced Student Engagement</w:t>
      </w:r>
    </w:p>
    <w:p w:rsidR="005352BD" w:rsidRDefault="00E61697">
      <w:pPr>
        <w:jc w:val="both"/>
        <w:rPr>
          <w:rFonts w:ascii="Times New Roman" w:hAnsi="Times New Roman" w:cs="Times New Roman"/>
          <w:sz w:val="24"/>
          <w:szCs w:val="24"/>
        </w:rPr>
      </w:pPr>
      <w:r>
        <w:rPr>
          <w:rFonts w:ascii="Times New Roman" w:hAnsi="Times New Roman" w:cs="Times New Roman"/>
          <w:sz w:val="24"/>
          <w:szCs w:val="24"/>
        </w:rPr>
        <w:lastRenderedPageBreak/>
        <w:t>AI-driven adaptive learning systems (AI-ALS) represent a significant evolution in educational technology, utilizing artificial intelligence (AI) to fundamentally tailor educational content and learning experiences to individual students’ needs, abilities, and unique learning styles Huang, R, (2020]. These systems operate by continuously analyzing a vast stream of data, including learners’ interactions, performance on assessments, affective states (e.g., frustration or focus), and expressed preferences. Aleven, V. (2016).</w:t>
      </w:r>
    </w:p>
    <w:p w:rsidR="005352BD" w:rsidRDefault="00E61697">
      <w:pPr>
        <w:jc w:val="both"/>
        <w:rPr>
          <w:rFonts w:ascii="Times New Roman" w:hAnsi="Times New Roman" w:cs="Times New Roman"/>
          <w:sz w:val="24"/>
          <w:szCs w:val="24"/>
        </w:rPr>
      </w:pPr>
      <w:r>
        <w:rPr>
          <w:rFonts w:ascii="Times New Roman" w:hAnsi="Times New Roman" w:cs="Times New Roman"/>
          <w:sz w:val="24"/>
          <w:szCs w:val="24"/>
        </w:rPr>
        <w:t>Core Mechanisms and Personalization</w:t>
      </w:r>
    </w:p>
    <w:p w:rsidR="005352BD" w:rsidRDefault="00E61697">
      <w:pPr>
        <w:jc w:val="both"/>
        <w:rPr>
          <w:rFonts w:ascii="Times New Roman" w:hAnsi="Times New Roman" w:cs="Times New Roman"/>
          <w:sz w:val="24"/>
          <w:szCs w:val="24"/>
        </w:rPr>
      </w:pPr>
      <w:r>
        <w:rPr>
          <w:rFonts w:ascii="Times New Roman" w:hAnsi="Times New Roman" w:cs="Times New Roman"/>
          <w:sz w:val="24"/>
          <w:szCs w:val="24"/>
        </w:rPr>
        <w:t>By employing sophisticated AI techniques, such as machine learning (ML), natural language processing (NLP), and recommender systems, AI-ALS can dynamically adjust several critical parameters of the learning environment. Specifically, the systems: Adjust the pace of instruction, allowing students to move ahead once mastery is demonstrated or providing remedial work for those who need additional time. Modify the difficulty level of tasks, ensuring the student is consistently challenged but not overwhelmed, thereby maintaining the zone of proximal development. Vary the type of content delivered, switching between video lectures, interactive simulations, practice problems, or supplementary readings based on the student's documented learning style or current performance trajectory. This level of fine-grained personalized learning is the central mechanism through which AI-ALS impact the educational experience.  Huang, R.(2020).</w:t>
      </w:r>
    </w:p>
    <w:p w:rsidR="005352BD" w:rsidRDefault="00E61697">
      <w:pPr>
        <w:jc w:val="both"/>
        <w:rPr>
          <w:rFonts w:ascii="Times New Roman" w:hAnsi="Times New Roman" w:cs="Times New Roman"/>
          <w:b/>
          <w:sz w:val="24"/>
          <w:szCs w:val="24"/>
        </w:rPr>
      </w:pPr>
      <w:r>
        <w:rPr>
          <w:rFonts w:ascii="Times New Roman" w:hAnsi="Times New Roman" w:cs="Times New Roman"/>
          <w:b/>
          <w:sz w:val="24"/>
          <w:szCs w:val="24"/>
        </w:rPr>
        <w:t>Impact on Student Engagement and Outcomes</w:t>
      </w:r>
    </w:p>
    <w:p w:rsidR="005352BD" w:rsidRDefault="00E61697">
      <w:pPr>
        <w:jc w:val="both"/>
        <w:rPr>
          <w:rFonts w:ascii="Times New Roman" w:hAnsi="Times New Roman" w:cs="Times New Roman"/>
          <w:sz w:val="24"/>
          <w:szCs w:val="24"/>
        </w:rPr>
      </w:pPr>
      <w:r>
        <w:rPr>
          <w:rFonts w:ascii="Times New Roman" w:hAnsi="Times New Roman" w:cs="Times New Roman"/>
          <w:sz w:val="24"/>
          <w:szCs w:val="24"/>
        </w:rPr>
        <w:t>The inherent adaptability of these systems has a direct and measurable effect on increasing student engagement. This is achieved by: Providing Immediate Feedback: Unlike traditional methods, AI-ALS offer instant, detailed feedback on student responses, which is crucial for the timely correction of misconceptions and the reinforcement of correct behaviors, thus sustaining motivation . Delivering Targeted Support: When a learning gap or difficulty is detected, the system immediately intervenes with specific tutorials, hints, or alternative explanations, preventing the frustration and disengagement often associated with being stuck. Chen, X. (2020). Fostering Interactive Experiences: Many AI-ALS incorporate gamification elements, intelligent tutoring features, and realistic simulations that transform passive consumption of content into active, enjoyable, and interactive learning. By keeping the learning material highly relevant, challenging, and responsive, AI-ALS help to maintain both interest and motivation, which are key precursors to deep learning. Furthermore, these systems provide educators with actionable data analytics to pinpoint common learning gaps, identify at-risk students, and optimize instructional strategies. The ultimate result is a documented improvement in learning outcomes, knowledge retention, and overall academic performance. Huang, R. (2020).</w:t>
      </w:r>
    </w:p>
    <w:p w:rsidR="005352BD" w:rsidRDefault="005352BD">
      <w:pPr>
        <w:spacing w:after="120"/>
        <w:jc w:val="both"/>
        <w:rPr>
          <w:rFonts w:ascii="Times New Roman" w:hAnsi="Times New Roman" w:cs="Times New Roman"/>
          <w:b/>
          <w:sz w:val="24"/>
          <w:szCs w:val="24"/>
        </w:rPr>
      </w:pPr>
    </w:p>
    <w:p w:rsidR="005352BD" w:rsidRDefault="005352BD">
      <w:pPr>
        <w:spacing w:after="120"/>
        <w:jc w:val="both"/>
        <w:rPr>
          <w:rFonts w:ascii="Times New Roman" w:hAnsi="Times New Roman" w:cs="Times New Roman"/>
          <w:b/>
          <w:sz w:val="24"/>
          <w:szCs w:val="24"/>
        </w:rPr>
      </w:pPr>
    </w:p>
    <w:p w:rsidR="005352BD" w:rsidRDefault="005352BD">
      <w:pPr>
        <w:spacing w:after="120"/>
        <w:jc w:val="both"/>
        <w:rPr>
          <w:rFonts w:ascii="Times New Roman" w:hAnsi="Times New Roman" w:cs="Times New Roman"/>
          <w:b/>
          <w:sz w:val="24"/>
          <w:szCs w:val="24"/>
        </w:rPr>
      </w:pPr>
    </w:p>
    <w:p w:rsidR="005352BD" w:rsidRDefault="005352BD">
      <w:pPr>
        <w:spacing w:after="120"/>
        <w:jc w:val="both"/>
        <w:rPr>
          <w:rFonts w:ascii="Times New Roman" w:hAnsi="Times New Roman" w:cs="Times New Roman"/>
          <w:b/>
          <w:sz w:val="24"/>
          <w:szCs w:val="24"/>
        </w:rPr>
      </w:pPr>
    </w:p>
    <w:p w:rsidR="005352BD" w:rsidRDefault="005352BD">
      <w:pPr>
        <w:spacing w:after="120"/>
        <w:jc w:val="both"/>
        <w:rPr>
          <w:rFonts w:ascii="Times New Roman" w:hAnsi="Times New Roman" w:cs="Times New Roman"/>
          <w:b/>
          <w:sz w:val="24"/>
          <w:szCs w:val="24"/>
        </w:rPr>
      </w:pPr>
    </w:p>
    <w:p w:rsidR="005352BD" w:rsidRDefault="00E61697">
      <w:pPr>
        <w:spacing w:after="120"/>
        <w:jc w:val="both"/>
        <w:rPr>
          <w:rFonts w:ascii="Times New Roman" w:hAnsi="Times New Roman" w:cs="Times New Roman"/>
          <w:b/>
          <w:sz w:val="24"/>
          <w:szCs w:val="24"/>
        </w:rPr>
      </w:pPr>
      <w:r>
        <w:rPr>
          <w:rFonts w:ascii="Times New Roman" w:hAnsi="Times New Roman" w:cs="Times New Roman"/>
          <w:b/>
          <w:sz w:val="24"/>
          <w:szCs w:val="24"/>
        </w:rPr>
        <w:t>Conclusion</w:t>
      </w:r>
    </w:p>
    <w:p w:rsidR="005352BD" w:rsidRDefault="00E61697">
      <w:pPr>
        <w:jc w:val="both"/>
        <w:rPr>
          <w:rFonts w:ascii="Times New Roman" w:hAnsi="Times New Roman" w:cs="Times New Roman"/>
          <w:sz w:val="24"/>
          <w:szCs w:val="24"/>
        </w:rPr>
      </w:pPr>
      <w:r>
        <w:rPr>
          <w:rFonts w:ascii="Times New Roman" w:hAnsi="Times New Roman" w:cs="Times New Roman"/>
          <w:sz w:val="24"/>
          <w:szCs w:val="24"/>
        </w:rPr>
        <w:t>Artificial Intelligence (AI) has the potential to profoundly transform Computer-Based Education (CBE) by enabling highly personalized learning experiences tailored to each student’s pace, strengths, and areas of difficulty. Through intelligent analytics, AI can adapt instructional content, provide timely feedback, and support differentiated pathways that accommodate diverse learning needs. Furthermore, AI enhances accessibility by offering tools such as automated captioning, text-to-speech systems, multilingual translation, and assistive technologies that make learning more inclusive for students with disabilities or language barriers. These innovations also contribute to increased learner engagement through interactive simulations, adaptive assessments, and intelligent tutoring systems that stimulate active participation and motivation.</w:t>
      </w:r>
    </w:p>
    <w:p w:rsidR="005352BD" w:rsidRDefault="00E61697">
      <w:pPr>
        <w:jc w:val="both"/>
        <w:rPr>
          <w:rFonts w:ascii="Times New Roman" w:hAnsi="Times New Roman" w:cs="Times New Roman"/>
          <w:sz w:val="24"/>
          <w:szCs w:val="24"/>
        </w:rPr>
      </w:pPr>
      <w:r>
        <w:rPr>
          <w:rFonts w:ascii="Times New Roman" w:hAnsi="Times New Roman" w:cs="Times New Roman"/>
          <w:sz w:val="24"/>
          <w:szCs w:val="24"/>
        </w:rPr>
        <w:t>However, achieving sustainable and responsible AI integration requires deliberate planning and attention to several key challenges. Ethical concerns—such as data privacy, transparency, and informed consent—must be carefully managed to ensure that learners’ personal information is protected. Infrastructure limitations, particularly in low-resource environments, may hinder equal access to AI-powered learning platforms, necessitating investment in reliable electricity, internet connectivity, and digital devices. Teacher readiness also plays a critical role, as educators need adequate training to effectively use AI tools and interpret data-driven insights. Additionally, algorithmic biases embedded in AI systems can unintentionally disadvantage certain groups of learners if not addressed through inclusive design, continuous monitoring, and equitable data practices.</w:t>
      </w:r>
    </w:p>
    <w:p w:rsidR="005352BD" w:rsidRDefault="00E61697">
      <w:pPr>
        <w:jc w:val="both"/>
        <w:rPr>
          <w:rFonts w:ascii="Times New Roman" w:hAnsi="Times New Roman" w:cs="Times New Roman"/>
          <w:sz w:val="24"/>
          <w:szCs w:val="24"/>
        </w:rPr>
      </w:pPr>
      <w:r>
        <w:rPr>
          <w:rFonts w:ascii="Times New Roman" w:hAnsi="Times New Roman" w:cs="Times New Roman"/>
          <w:sz w:val="24"/>
          <w:szCs w:val="24"/>
        </w:rPr>
        <w:t>With thoughtful planning, strong policy frameworks, and a human-centered approach that prioritizes fairness and inclusivity, AI can serve as a powerful catalyst for delivering equitable, high-quality education globally. By combining technological innovation with ethical responsibility, AI can help reshape CBE into a more adaptive, accessible, and learner-focused educational model.</w:t>
      </w:r>
    </w:p>
    <w:p w:rsidR="005352BD" w:rsidRDefault="005352BD">
      <w:pPr>
        <w:jc w:val="both"/>
        <w:rPr>
          <w:rFonts w:ascii="Times New Roman" w:hAnsi="Times New Roman" w:cs="Times New Roman"/>
          <w:sz w:val="24"/>
          <w:szCs w:val="24"/>
        </w:rPr>
      </w:pPr>
    </w:p>
    <w:p w:rsidR="005352BD" w:rsidRDefault="005352BD">
      <w:pPr>
        <w:jc w:val="both"/>
        <w:rPr>
          <w:rFonts w:ascii="Times New Roman" w:hAnsi="Times New Roman" w:cs="Times New Roman"/>
          <w:sz w:val="24"/>
          <w:szCs w:val="24"/>
        </w:rPr>
      </w:pPr>
    </w:p>
    <w:p w:rsidR="005352BD" w:rsidRDefault="005352BD">
      <w:pPr>
        <w:spacing w:after="120"/>
        <w:jc w:val="both"/>
        <w:rPr>
          <w:rFonts w:ascii="Times New Roman" w:hAnsi="Times New Roman" w:cs="Times New Roman"/>
          <w:sz w:val="24"/>
          <w:szCs w:val="24"/>
        </w:rPr>
      </w:pPr>
    </w:p>
    <w:p w:rsidR="005352BD" w:rsidRDefault="005352BD">
      <w:pPr>
        <w:spacing w:after="160" w:line="259" w:lineRule="auto"/>
        <w:jc w:val="both"/>
        <w:rPr>
          <w:rFonts w:ascii="Times New Roman" w:hAnsi="Times New Roman" w:cs="Times New Roman"/>
          <w:b/>
          <w:sz w:val="24"/>
          <w:szCs w:val="24"/>
        </w:rPr>
      </w:pPr>
    </w:p>
    <w:p w:rsidR="005352BD" w:rsidRDefault="005352BD">
      <w:pPr>
        <w:spacing w:after="160" w:line="259" w:lineRule="auto"/>
        <w:jc w:val="both"/>
        <w:rPr>
          <w:rFonts w:ascii="Times New Roman" w:hAnsi="Times New Roman" w:cs="Times New Roman"/>
          <w:b/>
          <w:sz w:val="24"/>
          <w:szCs w:val="24"/>
        </w:rPr>
      </w:pPr>
    </w:p>
    <w:p w:rsidR="005352BD" w:rsidRDefault="005352BD">
      <w:pPr>
        <w:spacing w:after="160" w:line="259" w:lineRule="auto"/>
        <w:jc w:val="both"/>
        <w:rPr>
          <w:rFonts w:ascii="Times New Roman" w:hAnsi="Times New Roman" w:cs="Times New Roman"/>
          <w:b/>
          <w:sz w:val="24"/>
          <w:szCs w:val="24"/>
        </w:rPr>
      </w:pPr>
    </w:p>
    <w:p w:rsidR="005352BD" w:rsidRDefault="005352BD">
      <w:pPr>
        <w:spacing w:after="160" w:line="259" w:lineRule="auto"/>
        <w:jc w:val="both"/>
        <w:rPr>
          <w:rFonts w:ascii="Times New Roman" w:hAnsi="Times New Roman" w:cs="Times New Roman"/>
          <w:b/>
          <w:sz w:val="24"/>
          <w:szCs w:val="24"/>
        </w:rPr>
      </w:pPr>
    </w:p>
    <w:p w:rsidR="005352BD" w:rsidRDefault="005352BD">
      <w:pPr>
        <w:spacing w:after="160" w:line="259" w:lineRule="auto"/>
        <w:jc w:val="both"/>
        <w:rPr>
          <w:rFonts w:ascii="Times New Roman" w:hAnsi="Times New Roman" w:cs="Times New Roman"/>
          <w:b/>
          <w:sz w:val="24"/>
          <w:szCs w:val="24"/>
        </w:rPr>
      </w:pPr>
    </w:p>
    <w:p w:rsidR="005352BD" w:rsidRDefault="00E61697">
      <w:pPr>
        <w:spacing w:after="160" w:line="259" w:lineRule="auto"/>
        <w:jc w:val="both"/>
        <w:rPr>
          <w:rFonts w:ascii="Times New Roman" w:eastAsia="Calibri" w:hAnsi="Times New Roman" w:cs="Times New Roman"/>
          <w:b/>
          <w:sz w:val="24"/>
          <w:szCs w:val="24"/>
        </w:rPr>
      </w:pPr>
      <w:r>
        <w:rPr>
          <w:rFonts w:ascii="Times New Roman" w:hAnsi="Times New Roman" w:cs="Times New Roman"/>
          <w:b/>
          <w:sz w:val="24"/>
          <w:szCs w:val="24"/>
        </w:rPr>
        <w:t>Recommendations</w:t>
      </w:r>
    </w:p>
    <w:p w:rsidR="005352BD" w:rsidRDefault="005352BD">
      <w:pPr>
        <w:jc w:val="both"/>
        <w:rPr>
          <w:rFonts w:ascii="Times New Roman" w:hAnsi="Times New Roman" w:cs="Times New Roman"/>
          <w:sz w:val="24"/>
          <w:szCs w:val="24"/>
        </w:rPr>
      </w:pPr>
    </w:p>
    <w:p w:rsidR="005352BD" w:rsidRDefault="00E61697">
      <w:pPr>
        <w:jc w:val="both"/>
        <w:rPr>
          <w:rFonts w:ascii="Times New Roman" w:hAnsi="Times New Roman" w:cs="Times New Roman"/>
          <w:sz w:val="24"/>
          <w:szCs w:val="24"/>
        </w:rPr>
      </w:pPr>
      <w:r>
        <w:rPr>
          <w:rFonts w:ascii="Times New Roman" w:hAnsi="Times New Roman" w:cs="Times New Roman"/>
          <w:sz w:val="24"/>
          <w:szCs w:val="24"/>
        </w:rPr>
        <w:t>Educational institutions should prioritize continuous professional development on AI tools,          digital literacy, and technology-assisted pedagogy.</w:t>
      </w:r>
    </w:p>
    <w:p w:rsidR="005352BD" w:rsidRDefault="00E61697">
      <w:pPr>
        <w:jc w:val="both"/>
        <w:rPr>
          <w:rFonts w:ascii="Times New Roman" w:hAnsi="Times New Roman" w:cs="Times New Roman"/>
          <w:sz w:val="24"/>
          <w:szCs w:val="24"/>
        </w:rPr>
      </w:pPr>
      <w:r>
        <w:rPr>
          <w:rFonts w:ascii="Times New Roman" w:hAnsi="Times New Roman" w:cs="Times New Roman"/>
          <w:sz w:val="24"/>
          <w:szCs w:val="24"/>
        </w:rPr>
        <w:t>Governments must establish regulations that promote transparency, protect student data, and ensure responsible AI use.</w:t>
      </w:r>
    </w:p>
    <w:p w:rsidR="005352BD" w:rsidRDefault="00E61697">
      <w:pPr>
        <w:jc w:val="both"/>
        <w:rPr>
          <w:rFonts w:ascii="Times New Roman" w:hAnsi="Times New Roman" w:cs="Times New Roman"/>
          <w:sz w:val="24"/>
          <w:szCs w:val="24"/>
        </w:rPr>
      </w:pPr>
      <w:r>
        <w:rPr>
          <w:rFonts w:ascii="Times New Roman" w:hAnsi="Times New Roman" w:cs="Times New Roman"/>
          <w:sz w:val="24"/>
          <w:szCs w:val="24"/>
        </w:rPr>
        <w:t>Expanding broadband access, providing modern devices, and improving electricity supply will support large-scale AI adoption.</w:t>
      </w:r>
    </w:p>
    <w:p w:rsidR="005352BD" w:rsidRDefault="00E61697">
      <w:pPr>
        <w:jc w:val="both"/>
        <w:rPr>
          <w:rFonts w:ascii="Times New Roman" w:hAnsi="Times New Roman" w:cs="Times New Roman"/>
          <w:sz w:val="24"/>
          <w:szCs w:val="24"/>
        </w:rPr>
      </w:pPr>
      <w:r>
        <w:rPr>
          <w:rFonts w:ascii="Times New Roman" w:hAnsi="Times New Roman" w:cs="Times New Roman"/>
          <w:sz w:val="24"/>
          <w:szCs w:val="24"/>
        </w:rPr>
        <w:t xml:space="preserve"> Partnerships between universities, tech companies, and government can accelerate the development of culturally relevant </w:t>
      </w:r>
    </w:p>
    <w:p w:rsidR="005352BD" w:rsidRDefault="00E61697">
      <w:pPr>
        <w:jc w:val="both"/>
        <w:rPr>
          <w:rFonts w:ascii="Times New Roman" w:hAnsi="Times New Roman" w:cs="Times New Roman"/>
          <w:sz w:val="24"/>
          <w:szCs w:val="24"/>
        </w:rPr>
      </w:pPr>
      <w:r>
        <w:rPr>
          <w:rFonts w:ascii="Times New Roman" w:hAnsi="Times New Roman" w:cs="Times New Roman"/>
          <w:sz w:val="24"/>
          <w:szCs w:val="24"/>
        </w:rPr>
        <w:t xml:space="preserve"> AI systems should be designed with universal design principles to support learners with diverse needs and backgrounds.</w:t>
      </w:r>
    </w:p>
    <w:p w:rsidR="005352BD" w:rsidRDefault="00E61697">
      <w:pPr>
        <w:jc w:val="both"/>
        <w:rPr>
          <w:rFonts w:ascii="Times New Roman" w:hAnsi="Times New Roman" w:cs="Times New Roman"/>
          <w:sz w:val="24"/>
          <w:szCs w:val="24"/>
        </w:rPr>
      </w:pPr>
      <w:r>
        <w:rPr>
          <w:rFonts w:ascii="Times New Roman" w:hAnsi="Times New Roman" w:cs="Times New Roman"/>
          <w:sz w:val="24"/>
          <w:szCs w:val="24"/>
        </w:rPr>
        <w:t>Governments and institutions should invest in AI-in-education research to evaluate long-term impacts and develop innovative instructional models.</w:t>
      </w:r>
    </w:p>
    <w:p w:rsidR="005352BD" w:rsidRDefault="00E61697">
      <w:pPr>
        <w:jc w:val="both"/>
        <w:rPr>
          <w:rFonts w:ascii="Times New Roman" w:hAnsi="Times New Roman" w:cs="Times New Roman"/>
          <w:sz w:val="24"/>
          <w:szCs w:val="24"/>
        </w:rPr>
      </w:pPr>
      <w:r>
        <w:rPr>
          <w:rFonts w:ascii="Times New Roman" w:hAnsi="Times New Roman" w:cs="Times New Roman"/>
          <w:sz w:val="24"/>
          <w:szCs w:val="24"/>
        </w:rPr>
        <w:t xml:space="preserve"> Schools should begin with controlled pilot programs to test AI tools before full-scale adoption, reducing risks and improving system readiness.</w:t>
      </w:r>
    </w:p>
    <w:p w:rsidR="005352BD" w:rsidRDefault="00E61697">
      <w:pPr>
        <w:spacing w:after="120"/>
        <w:jc w:val="both"/>
        <w:rPr>
          <w:rFonts w:ascii="Times New Roman" w:hAnsi="Times New Roman" w:cs="Times New Roman"/>
          <w:sz w:val="24"/>
          <w:szCs w:val="24"/>
        </w:rPr>
      </w:pPr>
      <w:r>
        <w:rPr>
          <w:rFonts w:ascii="Times New Roman" w:hAnsi="Times New Roman" w:cs="Times New Roman"/>
          <w:sz w:val="24"/>
          <w:szCs w:val="24"/>
        </w:rPr>
        <w:t>Strengthen teacher training through professional development programs focused on AI and digital skills.</w:t>
      </w:r>
    </w:p>
    <w:p w:rsidR="005352BD" w:rsidRDefault="00E61697">
      <w:pPr>
        <w:spacing w:after="120"/>
        <w:jc w:val="both"/>
        <w:rPr>
          <w:rFonts w:ascii="Times New Roman" w:hAnsi="Times New Roman" w:cs="Times New Roman"/>
          <w:sz w:val="24"/>
          <w:szCs w:val="24"/>
        </w:rPr>
      </w:pPr>
      <w:r>
        <w:rPr>
          <w:rFonts w:ascii="Times New Roman" w:hAnsi="Times New Roman" w:cs="Times New Roman"/>
          <w:sz w:val="24"/>
          <w:szCs w:val="24"/>
        </w:rPr>
        <w:t>Establish data protection frameworks to safeguard privacy and ensure ethical AI usage.</w:t>
      </w:r>
    </w:p>
    <w:p w:rsidR="005352BD" w:rsidRDefault="00E61697">
      <w:pPr>
        <w:spacing w:after="120"/>
        <w:jc w:val="both"/>
        <w:rPr>
          <w:rFonts w:ascii="Times New Roman" w:hAnsi="Times New Roman" w:cs="Times New Roman"/>
          <w:sz w:val="24"/>
          <w:szCs w:val="24"/>
        </w:rPr>
      </w:pPr>
      <w:r>
        <w:rPr>
          <w:rFonts w:ascii="Times New Roman" w:hAnsi="Times New Roman" w:cs="Times New Roman"/>
          <w:sz w:val="24"/>
          <w:szCs w:val="24"/>
        </w:rPr>
        <w:t>Invest in digital infrastructure, including broadband and devices, to enable scalable AI deployment.</w:t>
      </w:r>
    </w:p>
    <w:p w:rsidR="005352BD" w:rsidRDefault="00E61697">
      <w:pPr>
        <w:spacing w:after="120"/>
        <w:jc w:val="both"/>
        <w:rPr>
          <w:rFonts w:ascii="Times New Roman" w:hAnsi="Times New Roman" w:cs="Times New Roman"/>
          <w:sz w:val="24"/>
          <w:szCs w:val="24"/>
        </w:rPr>
      </w:pPr>
      <w:r>
        <w:rPr>
          <w:rFonts w:ascii="Times New Roman" w:hAnsi="Times New Roman" w:cs="Times New Roman"/>
          <w:sz w:val="24"/>
          <w:szCs w:val="24"/>
        </w:rPr>
        <w:t>Encourage local AI innovation through partnerships between educational institutions, technology providers, and governments.</w:t>
      </w:r>
    </w:p>
    <w:p w:rsidR="005352BD" w:rsidRDefault="005352BD">
      <w:pPr>
        <w:spacing w:after="160" w:line="259" w:lineRule="auto"/>
        <w:jc w:val="both"/>
        <w:rPr>
          <w:rFonts w:ascii="Times New Roman" w:eastAsia="Calibri" w:hAnsi="Times New Roman" w:cs="Times New Roman"/>
          <w:sz w:val="24"/>
          <w:szCs w:val="24"/>
        </w:rPr>
      </w:pPr>
    </w:p>
    <w:p w:rsidR="005352BD" w:rsidRDefault="005352BD">
      <w:pPr>
        <w:spacing w:after="160" w:line="259" w:lineRule="auto"/>
        <w:jc w:val="both"/>
        <w:rPr>
          <w:rFonts w:ascii="Times New Roman" w:eastAsia="Calibri" w:hAnsi="Times New Roman" w:cs="Times New Roman"/>
          <w:sz w:val="24"/>
          <w:szCs w:val="24"/>
        </w:rPr>
      </w:pPr>
    </w:p>
    <w:p w:rsidR="005352BD" w:rsidRDefault="005352BD">
      <w:pPr>
        <w:spacing w:after="160" w:line="259" w:lineRule="auto"/>
        <w:ind w:left="900" w:hanging="900"/>
        <w:jc w:val="both"/>
        <w:rPr>
          <w:rFonts w:ascii="Times New Roman" w:eastAsia="Calibri" w:hAnsi="Times New Roman" w:cs="Times New Roman"/>
          <w:b/>
          <w:sz w:val="24"/>
          <w:szCs w:val="24"/>
        </w:rPr>
      </w:pPr>
    </w:p>
    <w:p w:rsidR="005352BD" w:rsidRDefault="005352BD">
      <w:pPr>
        <w:spacing w:after="160" w:line="259" w:lineRule="auto"/>
        <w:ind w:left="900" w:hanging="900"/>
        <w:jc w:val="both"/>
        <w:rPr>
          <w:rFonts w:ascii="Times New Roman" w:eastAsia="Calibri" w:hAnsi="Times New Roman" w:cs="Times New Roman"/>
          <w:b/>
          <w:sz w:val="24"/>
          <w:szCs w:val="24"/>
        </w:rPr>
      </w:pPr>
    </w:p>
    <w:p w:rsidR="005352BD" w:rsidRDefault="005352BD">
      <w:pPr>
        <w:spacing w:after="160" w:line="259" w:lineRule="auto"/>
        <w:ind w:left="900" w:hanging="900"/>
        <w:jc w:val="both"/>
        <w:rPr>
          <w:rFonts w:ascii="Times New Roman" w:eastAsia="Calibri" w:hAnsi="Times New Roman" w:cs="Times New Roman"/>
          <w:b/>
          <w:sz w:val="24"/>
          <w:szCs w:val="24"/>
        </w:rPr>
      </w:pPr>
    </w:p>
    <w:p w:rsidR="005352BD" w:rsidRDefault="005352BD">
      <w:pPr>
        <w:spacing w:after="160" w:line="259" w:lineRule="auto"/>
        <w:ind w:left="900" w:hanging="900"/>
        <w:jc w:val="both"/>
        <w:rPr>
          <w:rFonts w:ascii="Times New Roman" w:eastAsia="Calibri" w:hAnsi="Times New Roman" w:cs="Times New Roman"/>
          <w:b/>
          <w:sz w:val="24"/>
          <w:szCs w:val="24"/>
        </w:rPr>
      </w:pPr>
    </w:p>
    <w:p w:rsidR="005352BD" w:rsidRDefault="005352BD">
      <w:pPr>
        <w:spacing w:after="160" w:line="259" w:lineRule="auto"/>
        <w:ind w:left="900" w:hanging="900"/>
        <w:jc w:val="both"/>
        <w:rPr>
          <w:rFonts w:ascii="Times New Roman" w:eastAsia="Calibri" w:hAnsi="Times New Roman" w:cs="Times New Roman"/>
          <w:b/>
          <w:sz w:val="24"/>
          <w:szCs w:val="24"/>
        </w:rPr>
      </w:pPr>
    </w:p>
    <w:p w:rsidR="005352BD" w:rsidRDefault="00E61697">
      <w:pPr>
        <w:spacing w:after="160" w:line="259" w:lineRule="auto"/>
        <w:ind w:left="900" w:hanging="900"/>
        <w:jc w:val="both"/>
        <w:rPr>
          <w:rFonts w:ascii="Times New Roman" w:eastAsia="Calibri" w:hAnsi="Times New Roman" w:cs="Times New Roman"/>
          <w:b/>
          <w:sz w:val="24"/>
          <w:szCs w:val="24"/>
        </w:rPr>
      </w:pPr>
      <w:r>
        <w:rPr>
          <w:rFonts w:ascii="Times New Roman" w:eastAsia="Calibri" w:hAnsi="Times New Roman" w:cs="Times New Roman"/>
          <w:b/>
          <w:sz w:val="24"/>
          <w:szCs w:val="24"/>
        </w:rPr>
        <w:t>References</w:t>
      </w:r>
    </w:p>
    <w:p w:rsidR="005352BD" w:rsidRDefault="005352BD">
      <w:pPr>
        <w:spacing w:after="160" w:line="259" w:lineRule="auto"/>
        <w:ind w:left="900" w:hanging="900"/>
        <w:jc w:val="both"/>
        <w:rPr>
          <w:rFonts w:ascii="Times New Roman" w:eastAsia="Calibri" w:hAnsi="Times New Roman" w:cs="Times New Roman"/>
          <w:b/>
          <w:sz w:val="24"/>
          <w:szCs w:val="24"/>
        </w:rPr>
      </w:pPr>
    </w:p>
    <w:p w:rsidR="005352BD" w:rsidRDefault="00E61697">
      <w:pPr>
        <w:spacing w:after="160" w:line="259" w:lineRule="auto"/>
        <w:ind w:left="900" w:hanging="900"/>
        <w:jc w:val="both"/>
        <w:rPr>
          <w:rFonts w:ascii="Times New Roman" w:eastAsia="Calibri" w:hAnsi="Times New Roman" w:cs="Times New Roman"/>
          <w:sz w:val="24"/>
          <w:szCs w:val="24"/>
        </w:rPr>
      </w:pPr>
      <w:r>
        <w:rPr>
          <w:rFonts w:ascii="Times New Roman" w:eastAsia="Calibri" w:hAnsi="Times New Roman" w:cs="Times New Roman"/>
          <w:sz w:val="24"/>
          <w:szCs w:val="24"/>
        </w:rPr>
        <w:t>Aleven, V., Roll, I., Koedinger, K. R., &amp; Wagner, A. Z. (2016). Intelligent tutoring systems. In P. A. Kirschner &amp; S. R. Huisman (Eds.), The Cambridge Handbook of Learning Sciences (2nd ed., pp. 317-334). Cambridge University Press.</w:t>
      </w:r>
    </w:p>
    <w:p w:rsidR="005352BD" w:rsidRDefault="00E61697">
      <w:pPr>
        <w:spacing w:after="160" w:line="259" w:lineRule="auto"/>
        <w:ind w:left="900" w:hanging="900"/>
        <w:jc w:val="both"/>
        <w:rPr>
          <w:rFonts w:ascii="Times New Roman" w:eastAsia="Calibri" w:hAnsi="Times New Roman" w:cs="Times New Roman"/>
          <w:sz w:val="24"/>
          <w:szCs w:val="24"/>
        </w:rPr>
      </w:pPr>
      <w:r>
        <w:rPr>
          <w:rFonts w:ascii="Times New Roman" w:eastAsia="Calibri" w:hAnsi="Times New Roman" w:cs="Times New Roman"/>
          <w:sz w:val="24"/>
          <w:szCs w:val="24"/>
        </w:rPr>
        <w:t>Chen, X., Xie, H., Zou, D., &amp; Hwang, G. J. (2020). Application and effectiveness of AI approaches in personalized language learning: A systematic review. Journal of Educational Computing Research, 58(8), 1545-1571.</w:t>
      </w:r>
    </w:p>
    <w:p w:rsidR="005352BD" w:rsidRDefault="00E61697">
      <w:pPr>
        <w:spacing w:after="160" w:line="259" w:lineRule="auto"/>
        <w:ind w:left="900" w:hanging="900"/>
        <w:jc w:val="both"/>
        <w:rPr>
          <w:rFonts w:ascii="Times New Roman" w:eastAsia="Calibri" w:hAnsi="Times New Roman" w:cs="Times New Roman"/>
          <w:sz w:val="24"/>
          <w:szCs w:val="24"/>
        </w:rPr>
      </w:pPr>
      <w:r>
        <w:rPr>
          <w:rFonts w:ascii="Times New Roman" w:hAnsi="Times New Roman" w:cs="Times New Roman"/>
          <w:sz w:val="24"/>
          <w:szCs w:val="24"/>
        </w:rPr>
        <w:t>Holmes, W., Bialik, M., &amp; Fadel, C. (2019). Artificial Intelligence in Education: Promises and Implications. Center for Curriculum Redesign.</w:t>
      </w:r>
    </w:p>
    <w:p w:rsidR="005352BD" w:rsidRDefault="00E61697">
      <w:pPr>
        <w:spacing w:after="160" w:line="259" w:lineRule="auto"/>
        <w:ind w:left="900" w:hanging="900"/>
        <w:jc w:val="both"/>
        <w:rPr>
          <w:rFonts w:ascii="Times New Roman" w:eastAsia="Calibri" w:hAnsi="Times New Roman" w:cs="Times New Roman"/>
          <w:sz w:val="24"/>
          <w:szCs w:val="24"/>
        </w:rPr>
      </w:pPr>
      <w:r>
        <w:rPr>
          <w:rFonts w:ascii="Times New Roman" w:eastAsia="Calibri" w:hAnsi="Times New Roman" w:cs="Times New Roman"/>
          <w:sz w:val="24"/>
          <w:szCs w:val="24"/>
        </w:rPr>
        <w:t>Huang, R., Ma, X., &amp; Hu, Y. (2020). Artificial intelligence in education: A systematic review of studies and applications. Journal of Educational Technology Development and Exchange, 13(1), 1-19.</w:t>
      </w:r>
    </w:p>
    <w:p w:rsidR="005352BD" w:rsidRDefault="00E61697">
      <w:pPr>
        <w:spacing w:after="160" w:line="259" w:lineRule="auto"/>
        <w:ind w:left="900" w:hanging="900"/>
        <w:jc w:val="both"/>
        <w:rPr>
          <w:rFonts w:ascii="Times New Roman" w:hAnsi="Times New Roman" w:cs="Times New Roman"/>
          <w:sz w:val="24"/>
          <w:szCs w:val="24"/>
        </w:rPr>
      </w:pPr>
      <w:r>
        <w:rPr>
          <w:rFonts w:ascii="Times New Roman" w:hAnsi="Times New Roman" w:cs="Times New Roman"/>
          <w:sz w:val="24"/>
          <w:szCs w:val="24"/>
        </w:rPr>
        <w:t>Koedinger, K. R., &amp; Corbett, A. T. (2006). Cognitive tutors. In The Cambridge Handbook of the Learning Sciences. Cambridge University Press</w:t>
      </w:r>
    </w:p>
    <w:p w:rsidR="005352BD" w:rsidRDefault="00E61697">
      <w:pPr>
        <w:spacing w:after="160" w:line="259" w:lineRule="auto"/>
        <w:ind w:left="900" w:hanging="900"/>
        <w:jc w:val="both"/>
        <w:rPr>
          <w:rFonts w:ascii="Times New Roman" w:hAnsi="Times New Roman" w:cs="Times New Roman"/>
          <w:sz w:val="24"/>
          <w:szCs w:val="24"/>
        </w:rPr>
      </w:pPr>
      <w:r>
        <w:rPr>
          <w:rFonts w:ascii="Times New Roman" w:hAnsi="Times New Roman" w:cs="Times New Roman"/>
          <w:sz w:val="24"/>
          <w:szCs w:val="24"/>
        </w:rPr>
        <w:t>Luckin, R., et al. (2016). Intelligence Unleashed: An Argument for AI in Education.</w:t>
      </w:r>
    </w:p>
    <w:p w:rsidR="005352BD" w:rsidRDefault="00E61697">
      <w:pPr>
        <w:spacing w:after="120"/>
        <w:ind w:left="900" w:hanging="900"/>
        <w:jc w:val="both"/>
        <w:rPr>
          <w:rFonts w:ascii="Times New Roman" w:hAnsi="Times New Roman" w:cs="Times New Roman"/>
          <w:sz w:val="24"/>
          <w:szCs w:val="24"/>
        </w:rPr>
      </w:pPr>
      <w:r>
        <w:rPr>
          <w:rFonts w:ascii="Times New Roman" w:hAnsi="Times New Roman" w:cs="Times New Roman"/>
          <w:sz w:val="24"/>
          <w:szCs w:val="24"/>
        </w:rPr>
        <w:t>Luckin, R. (2018). Machine Learning and Human Intelligence: The Future of Education for the 21st Century. UCL Institute of Education Press.</w:t>
      </w:r>
    </w:p>
    <w:p w:rsidR="005352BD" w:rsidRDefault="00E61697">
      <w:pPr>
        <w:spacing w:after="160" w:line="259" w:lineRule="auto"/>
        <w:ind w:left="900" w:hanging="900"/>
        <w:jc w:val="both"/>
        <w:rPr>
          <w:rFonts w:ascii="Times New Roman" w:eastAsia="Calibri" w:hAnsi="Times New Roman" w:cs="Times New Roman"/>
          <w:sz w:val="24"/>
          <w:szCs w:val="24"/>
        </w:rPr>
      </w:pPr>
      <w:r>
        <w:rPr>
          <w:rFonts w:ascii="Times New Roman" w:hAnsi="Times New Roman" w:cs="Times New Roman"/>
          <w:sz w:val="24"/>
          <w:szCs w:val="24"/>
        </w:rPr>
        <w:t>Russell, S., &amp; Norvig, P. (2016). Artificial Intelligence: A Modern Approach (3rd ed.). Pearson.</w:t>
      </w:r>
    </w:p>
    <w:p w:rsidR="005352BD" w:rsidRDefault="00E61697">
      <w:pPr>
        <w:spacing w:after="120"/>
        <w:ind w:left="900" w:hanging="900"/>
        <w:jc w:val="both"/>
        <w:rPr>
          <w:rFonts w:ascii="Times New Roman" w:hAnsi="Times New Roman" w:cs="Times New Roman"/>
          <w:sz w:val="24"/>
          <w:szCs w:val="24"/>
        </w:rPr>
      </w:pPr>
      <w:r>
        <w:rPr>
          <w:rFonts w:ascii="Times New Roman" w:hAnsi="Times New Roman" w:cs="Times New Roman"/>
          <w:sz w:val="24"/>
          <w:szCs w:val="24"/>
        </w:rPr>
        <w:t>Tuomi, I. (2020). The Impact of Artificial Intelligence on Learning, Teaching, and Education. European Journal of Education, 55(4), 543–564.</w:t>
      </w:r>
    </w:p>
    <w:p w:rsidR="005352BD" w:rsidRDefault="00E61697">
      <w:pPr>
        <w:spacing w:after="120"/>
        <w:ind w:left="900" w:hanging="900"/>
        <w:jc w:val="both"/>
        <w:rPr>
          <w:rFonts w:ascii="Times New Roman" w:hAnsi="Times New Roman" w:cs="Times New Roman"/>
          <w:sz w:val="24"/>
          <w:szCs w:val="24"/>
        </w:rPr>
      </w:pPr>
      <w:r>
        <w:rPr>
          <w:rFonts w:ascii="Times New Roman" w:hAnsi="Times New Roman" w:cs="Times New Roman"/>
          <w:sz w:val="24"/>
          <w:szCs w:val="24"/>
        </w:rPr>
        <w:t>UNESCO. (2021). AI and Education: Guidance for Policy-makers. United Nations Educational, Scientific and Cultural Organization.</w:t>
      </w:r>
    </w:p>
    <w:p w:rsidR="005352BD" w:rsidRDefault="00E61697">
      <w:pPr>
        <w:ind w:left="900" w:hanging="900"/>
        <w:jc w:val="both"/>
        <w:rPr>
          <w:rFonts w:ascii="Times New Roman" w:hAnsi="Times New Roman" w:cs="Times New Roman"/>
          <w:sz w:val="24"/>
          <w:szCs w:val="24"/>
        </w:rPr>
      </w:pPr>
      <w:r>
        <w:rPr>
          <w:rFonts w:ascii="Times New Roman" w:hAnsi="Times New Roman" w:cs="Times New Roman"/>
          <w:sz w:val="24"/>
          <w:szCs w:val="24"/>
        </w:rPr>
        <w:t xml:space="preserve">Zawacki-Richter, O., Marín, V. I., Bond, M., &amp; Gouverneur, F. (2019). *Systematic review of research on artificial intelligence applications in higher education – Where are the educators?* International Journal of Educational Technology in Higher Education, 16(1), 39. </w:t>
      </w:r>
      <w:hyperlink r:id="rId6" w:history="1">
        <w:r>
          <w:rPr>
            <w:rStyle w:val="Hyperlink"/>
            <w:rFonts w:ascii="Times New Roman" w:hAnsi="Times New Roman" w:cs="Times New Roman"/>
            <w:sz w:val="24"/>
            <w:szCs w:val="24"/>
          </w:rPr>
          <w:t>https://doi.org/10.1186/s41239-019-0171-0</w:t>
        </w:r>
      </w:hyperlink>
    </w:p>
    <w:p w:rsidR="005352BD" w:rsidRDefault="00E61697">
      <w:pPr>
        <w:spacing w:after="160" w:line="259" w:lineRule="auto"/>
        <w:ind w:left="900" w:hanging="900"/>
        <w:jc w:val="both"/>
        <w:rPr>
          <w:rFonts w:ascii="Times New Roman" w:eastAsia="Calibri" w:hAnsi="Times New Roman" w:cs="Times New Roman"/>
          <w:sz w:val="24"/>
          <w:szCs w:val="24"/>
        </w:rPr>
      </w:pPr>
      <w:r>
        <w:rPr>
          <w:rFonts w:ascii="Times New Roman" w:hAnsi="Times New Roman" w:cs="Times New Roman"/>
          <w:sz w:val="24"/>
          <w:szCs w:val="24"/>
        </w:rPr>
        <w:t>Zhang, J., &amp; Aslan, A. (2021). The effect of artificial intelligence on education. Education and Information Technologies.</w:t>
      </w:r>
    </w:p>
    <w:p w:rsidR="005352BD" w:rsidRDefault="005352BD">
      <w:pPr>
        <w:ind w:left="900" w:hanging="900"/>
        <w:jc w:val="both"/>
        <w:rPr>
          <w:rFonts w:ascii="Times New Roman" w:hAnsi="Times New Roman" w:cs="Times New Roman"/>
          <w:sz w:val="24"/>
          <w:szCs w:val="24"/>
        </w:rPr>
      </w:pPr>
    </w:p>
    <w:p w:rsidR="005352BD" w:rsidRDefault="005352BD">
      <w:pPr>
        <w:spacing w:after="120"/>
        <w:ind w:left="900" w:hanging="900"/>
        <w:jc w:val="both"/>
        <w:rPr>
          <w:rFonts w:ascii="Times New Roman" w:hAnsi="Times New Roman" w:cs="Times New Roman"/>
          <w:sz w:val="24"/>
          <w:szCs w:val="24"/>
        </w:rPr>
      </w:pPr>
    </w:p>
    <w:sectPr w:rsidR="005352BD">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notTrueType/>
    <w:pitch w:val="fixed"/>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singleLevel"/>
    <w:tmpl w:val="E4089024"/>
    <w:lvl w:ilvl="0">
      <w:start w:val="1"/>
      <w:numFmt w:val="decimal"/>
      <w:lvlText w:val="%1."/>
      <w:lvlJc w:val="left"/>
      <w:pPr>
        <w:tabs>
          <w:tab w:val="left" w:pos="1440"/>
        </w:tabs>
        <w:ind w:left="1440" w:hanging="360"/>
      </w:pPr>
    </w:lvl>
  </w:abstractNum>
  <w:abstractNum w:abstractNumId="1" w15:restartNumberingAfterBreak="0">
    <w:nsid w:val="00000002"/>
    <w:multiLevelType w:val="singleLevel"/>
    <w:tmpl w:val="FB12693A"/>
    <w:lvl w:ilvl="0">
      <w:start w:val="1"/>
      <w:numFmt w:val="decimal"/>
      <w:pStyle w:val="ListNumber3"/>
      <w:lvlText w:val="%1."/>
      <w:lvlJc w:val="left"/>
      <w:pPr>
        <w:tabs>
          <w:tab w:val="left" w:pos="1080"/>
        </w:tabs>
        <w:ind w:left="1080" w:hanging="360"/>
      </w:pPr>
    </w:lvl>
  </w:abstractNum>
  <w:abstractNum w:abstractNumId="2" w15:restartNumberingAfterBreak="0">
    <w:nsid w:val="00000003"/>
    <w:multiLevelType w:val="singleLevel"/>
    <w:tmpl w:val="38441652"/>
    <w:lvl w:ilvl="0">
      <w:start w:val="1"/>
      <w:numFmt w:val="decimal"/>
      <w:pStyle w:val="ListNumber2"/>
      <w:lvlText w:val="%1."/>
      <w:lvlJc w:val="left"/>
      <w:pPr>
        <w:tabs>
          <w:tab w:val="left" w:pos="720"/>
        </w:tabs>
        <w:ind w:left="720" w:hanging="360"/>
      </w:pPr>
    </w:lvl>
  </w:abstractNum>
  <w:abstractNum w:abstractNumId="3" w15:restartNumberingAfterBreak="0">
    <w:nsid w:val="00000004"/>
    <w:multiLevelType w:val="singleLevel"/>
    <w:tmpl w:val="171AC3A4"/>
    <w:lvl w:ilvl="0">
      <w:start w:val="1"/>
      <w:numFmt w:val="bullet"/>
      <w:lvlText w:val=""/>
      <w:lvlJc w:val="left"/>
      <w:pPr>
        <w:tabs>
          <w:tab w:val="left" w:pos="1440"/>
        </w:tabs>
        <w:ind w:left="1440" w:hanging="360"/>
      </w:pPr>
      <w:rPr>
        <w:rFonts w:ascii="Symbol" w:hAnsi="Symbol" w:hint="default"/>
      </w:rPr>
    </w:lvl>
  </w:abstractNum>
  <w:abstractNum w:abstractNumId="4" w15:restartNumberingAfterBreak="0">
    <w:nsid w:val="00000005"/>
    <w:multiLevelType w:val="singleLevel"/>
    <w:tmpl w:val="F3EAFDEC"/>
    <w:lvl w:ilvl="0">
      <w:start w:val="1"/>
      <w:numFmt w:val="bullet"/>
      <w:pStyle w:val="ListBullet3"/>
      <w:lvlText w:val=""/>
      <w:lvlJc w:val="left"/>
      <w:pPr>
        <w:tabs>
          <w:tab w:val="left" w:pos="1080"/>
        </w:tabs>
        <w:ind w:left="1080" w:hanging="360"/>
      </w:pPr>
      <w:rPr>
        <w:rFonts w:ascii="Symbol" w:hAnsi="Symbol" w:hint="default"/>
      </w:rPr>
    </w:lvl>
  </w:abstractNum>
  <w:abstractNum w:abstractNumId="5" w15:restartNumberingAfterBreak="0">
    <w:nsid w:val="00000006"/>
    <w:multiLevelType w:val="singleLevel"/>
    <w:tmpl w:val="3D1EFFD4"/>
    <w:lvl w:ilvl="0">
      <w:start w:val="1"/>
      <w:numFmt w:val="bullet"/>
      <w:pStyle w:val="ListBullet2"/>
      <w:lvlText w:val=""/>
      <w:lvlJc w:val="left"/>
      <w:pPr>
        <w:tabs>
          <w:tab w:val="left" w:pos="720"/>
        </w:tabs>
        <w:ind w:left="720" w:hanging="360"/>
      </w:pPr>
      <w:rPr>
        <w:rFonts w:ascii="Symbol" w:hAnsi="Symbol" w:hint="default"/>
      </w:rPr>
    </w:lvl>
  </w:abstractNum>
  <w:abstractNum w:abstractNumId="6" w15:restartNumberingAfterBreak="0">
    <w:nsid w:val="00000007"/>
    <w:multiLevelType w:val="singleLevel"/>
    <w:tmpl w:val="D0A62B40"/>
    <w:lvl w:ilvl="0">
      <w:start w:val="1"/>
      <w:numFmt w:val="decimal"/>
      <w:pStyle w:val="ListNumber"/>
      <w:lvlText w:val="%1."/>
      <w:lvlJc w:val="left"/>
      <w:pPr>
        <w:tabs>
          <w:tab w:val="left" w:pos="360"/>
        </w:tabs>
        <w:ind w:left="360" w:hanging="360"/>
      </w:pPr>
    </w:lvl>
  </w:abstractNum>
  <w:abstractNum w:abstractNumId="7" w15:restartNumberingAfterBreak="0">
    <w:nsid w:val="00000008"/>
    <w:multiLevelType w:val="singleLevel"/>
    <w:tmpl w:val="29761A62"/>
    <w:lvl w:ilvl="0">
      <w:start w:val="1"/>
      <w:numFmt w:val="bullet"/>
      <w:pStyle w:val="ListBullet"/>
      <w:lvlText w:val=""/>
      <w:lvlJc w:val="left"/>
      <w:pPr>
        <w:tabs>
          <w:tab w:val="left" w:pos="360"/>
        </w:tabs>
        <w:ind w:left="360" w:hanging="360"/>
      </w:pPr>
      <w:rPr>
        <w:rFonts w:ascii="Symbol" w:hAnsi="Symbol" w:hint="default"/>
      </w:rPr>
    </w:lvl>
  </w:abstractNum>
  <w:abstractNum w:abstractNumId="8" w15:restartNumberingAfterBreak="0">
    <w:nsid w:val="00000009"/>
    <w:multiLevelType w:val="multilevel"/>
    <w:tmpl w:val="09AA0C16"/>
    <w:lvl w:ilvl="0">
      <w:start w:val="1"/>
      <w:numFmt w:val="decimal"/>
      <w:lvlText w:val="%1."/>
      <w:lvlJc w:val="left"/>
      <w:pPr>
        <w:tabs>
          <w:tab w:val="left" w:pos="720"/>
        </w:tabs>
        <w:ind w:left="720" w:hanging="360"/>
      </w:pPr>
    </w:lvl>
    <w:lvl w:ilvl="1" w:tentative="1">
      <w:start w:val="1"/>
      <w:numFmt w:val="decimal"/>
      <w:lvlText w:val="%2."/>
      <w:lvlJc w:val="left"/>
      <w:pPr>
        <w:tabs>
          <w:tab w:val="left" w:pos="1440"/>
        </w:tabs>
        <w:ind w:left="1440" w:hanging="360"/>
      </w:pPr>
    </w:lvl>
    <w:lvl w:ilvl="2" w:tentative="1">
      <w:start w:val="1"/>
      <w:numFmt w:val="decimal"/>
      <w:lvlText w:val="%3."/>
      <w:lvlJc w:val="left"/>
      <w:pPr>
        <w:tabs>
          <w:tab w:val="left" w:pos="2160"/>
        </w:tabs>
        <w:ind w:left="2160" w:hanging="360"/>
      </w:pPr>
    </w:lvl>
    <w:lvl w:ilvl="3" w:tentative="1">
      <w:start w:val="1"/>
      <w:numFmt w:val="decimal"/>
      <w:lvlText w:val="%4."/>
      <w:lvlJc w:val="left"/>
      <w:pPr>
        <w:tabs>
          <w:tab w:val="left" w:pos="2880"/>
        </w:tabs>
        <w:ind w:left="2880" w:hanging="360"/>
      </w:pPr>
    </w:lvl>
    <w:lvl w:ilvl="4" w:tentative="1">
      <w:start w:val="1"/>
      <w:numFmt w:val="decimal"/>
      <w:lvlText w:val="%5."/>
      <w:lvlJc w:val="left"/>
      <w:pPr>
        <w:tabs>
          <w:tab w:val="left" w:pos="3600"/>
        </w:tabs>
        <w:ind w:left="3600" w:hanging="360"/>
      </w:pPr>
    </w:lvl>
    <w:lvl w:ilvl="5" w:tentative="1">
      <w:start w:val="1"/>
      <w:numFmt w:val="decimal"/>
      <w:lvlText w:val="%6."/>
      <w:lvlJc w:val="left"/>
      <w:pPr>
        <w:tabs>
          <w:tab w:val="left" w:pos="4320"/>
        </w:tabs>
        <w:ind w:left="4320" w:hanging="360"/>
      </w:pPr>
    </w:lvl>
    <w:lvl w:ilvl="6" w:tentative="1">
      <w:start w:val="1"/>
      <w:numFmt w:val="decimal"/>
      <w:lvlText w:val="%7."/>
      <w:lvlJc w:val="left"/>
      <w:pPr>
        <w:tabs>
          <w:tab w:val="left" w:pos="5040"/>
        </w:tabs>
        <w:ind w:left="5040" w:hanging="360"/>
      </w:pPr>
    </w:lvl>
    <w:lvl w:ilvl="7" w:tentative="1">
      <w:start w:val="1"/>
      <w:numFmt w:val="decimal"/>
      <w:lvlText w:val="%8."/>
      <w:lvlJc w:val="left"/>
      <w:pPr>
        <w:tabs>
          <w:tab w:val="left" w:pos="5760"/>
        </w:tabs>
        <w:ind w:left="5760" w:hanging="360"/>
      </w:pPr>
    </w:lvl>
    <w:lvl w:ilvl="8" w:tentative="1">
      <w:start w:val="1"/>
      <w:numFmt w:val="decimal"/>
      <w:lvlText w:val="%9."/>
      <w:lvlJc w:val="left"/>
      <w:pPr>
        <w:tabs>
          <w:tab w:val="left" w:pos="6480"/>
        </w:tabs>
        <w:ind w:left="6480" w:hanging="360"/>
      </w:pPr>
    </w:lvl>
  </w:abstractNum>
  <w:abstractNum w:abstractNumId="9" w15:restartNumberingAfterBreak="0">
    <w:nsid w:val="0000000A"/>
    <w:multiLevelType w:val="multilevel"/>
    <w:tmpl w:val="D2D031DC"/>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10" w15:restartNumberingAfterBreak="0">
    <w:nsid w:val="0000000B"/>
    <w:multiLevelType w:val="hybridMultilevel"/>
    <w:tmpl w:val="DEECB1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D9F4304"/>
    <w:multiLevelType w:val="singleLevel"/>
    <w:tmpl w:val="C310EC42"/>
    <w:lvl w:ilvl="0">
      <w:start w:val="1"/>
      <w:numFmt w:val="decimal"/>
      <w:lvlText w:val="%1."/>
      <w:lvlJc w:val="left"/>
      <w:pPr>
        <w:tabs>
          <w:tab w:val="left" w:pos="1800"/>
        </w:tabs>
        <w:ind w:left="1800" w:hanging="360"/>
      </w:pPr>
    </w:lvl>
  </w:abstractNum>
  <w:num w:numId="1">
    <w:abstractNumId w:val="7"/>
  </w:num>
  <w:num w:numId="2">
    <w:abstractNumId w:val="5"/>
  </w:num>
  <w:num w:numId="3">
    <w:abstractNumId w:val="4"/>
  </w:num>
  <w:num w:numId="4">
    <w:abstractNumId w:val="6"/>
  </w:num>
  <w:num w:numId="5">
    <w:abstractNumId w:val="2"/>
  </w:num>
  <w:num w:numId="6">
    <w:abstractNumId w:val="1"/>
  </w:num>
  <w:num w:numId="7">
    <w:abstractNumId w:val="10"/>
  </w:num>
  <w:num w:numId="8">
    <w:abstractNumId w:val="3"/>
  </w:num>
  <w:num w:numId="9">
    <w:abstractNumId w:val="0"/>
  </w:num>
  <w:num w:numId="10">
    <w:abstractNumId w:val="11"/>
  </w:num>
  <w:num w:numId="11">
    <w:abstractNumId w:val="9"/>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52BD"/>
    <w:rsid w:val="005352BD"/>
    <w:rsid w:val="00810B25"/>
    <w:rsid w:val="00E6169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5:docId w15:val="{4D2379F5-A5B5-4832-8703-33F1873166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mbria" w:eastAsia="MS Mincho" w:hAnsi="Cambria" w:cs="SimSun"/>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480" w:after="0"/>
      <w:outlineLvl w:val="0"/>
    </w:pPr>
    <w:rPr>
      <w:rFonts w:ascii="Calibri" w:eastAsia="MS Gothic" w:hAnsi="Calibri"/>
      <w:b/>
      <w:bCs/>
      <w:color w:val="365F91"/>
      <w:sz w:val="28"/>
      <w:szCs w:val="28"/>
    </w:rPr>
  </w:style>
  <w:style w:type="paragraph" w:styleId="Heading2">
    <w:name w:val="heading 2"/>
    <w:basedOn w:val="Normal"/>
    <w:next w:val="Normal"/>
    <w:link w:val="Heading2Char"/>
    <w:uiPriority w:val="9"/>
    <w:qFormat/>
    <w:pPr>
      <w:keepNext/>
      <w:keepLines/>
      <w:spacing w:before="200" w:after="0"/>
      <w:outlineLvl w:val="1"/>
    </w:pPr>
    <w:rPr>
      <w:rFonts w:ascii="Calibri" w:eastAsia="MS Gothic" w:hAnsi="Calibri"/>
      <w:b/>
      <w:bCs/>
      <w:color w:val="4F81BD"/>
      <w:sz w:val="26"/>
      <w:szCs w:val="26"/>
    </w:rPr>
  </w:style>
  <w:style w:type="paragraph" w:styleId="Heading3">
    <w:name w:val="heading 3"/>
    <w:basedOn w:val="Normal"/>
    <w:next w:val="Normal"/>
    <w:link w:val="Heading3Char"/>
    <w:uiPriority w:val="9"/>
    <w:qFormat/>
    <w:pPr>
      <w:keepNext/>
      <w:keepLines/>
      <w:spacing w:before="200" w:after="0"/>
      <w:outlineLvl w:val="2"/>
    </w:pPr>
    <w:rPr>
      <w:rFonts w:ascii="Calibri" w:eastAsia="MS Gothic" w:hAnsi="Calibri"/>
      <w:b/>
      <w:bCs/>
      <w:color w:val="4F81BD"/>
    </w:rPr>
  </w:style>
  <w:style w:type="paragraph" w:styleId="Heading4">
    <w:name w:val="heading 4"/>
    <w:basedOn w:val="Normal"/>
    <w:next w:val="Normal"/>
    <w:link w:val="Heading4Char"/>
    <w:uiPriority w:val="9"/>
    <w:qFormat/>
    <w:pPr>
      <w:keepNext/>
      <w:keepLines/>
      <w:spacing w:before="200" w:after="0"/>
      <w:outlineLvl w:val="3"/>
    </w:pPr>
    <w:rPr>
      <w:rFonts w:ascii="Calibri" w:eastAsia="MS Gothic" w:hAnsi="Calibri"/>
      <w:b/>
      <w:bCs/>
      <w:i/>
      <w:iCs/>
      <w:color w:val="4F81BD"/>
    </w:rPr>
  </w:style>
  <w:style w:type="paragraph" w:styleId="Heading5">
    <w:name w:val="heading 5"/>
    <w:basedOn w:val="Normal"/>
    <w:next w:val="Normal"/>
    <w:link w:val="Heading5Char"/>
    <w:uiPriority w:val="9"/>
    <w:qFormat/>
    <w:pPr>
      <w:keepNext/>
      <w:keepLines/>
      <w:spacing w:before="200" w:after="0"/>
      <w:outlineLvl w:val="4"/>
    </w:pPr>
    <w:rPr>
      <w:rFonts w:ascii="Calibri" w:eastAsia="MS Gothic" w:hAnsi="Calibri"/>
      <w:color w:val="243F60"/>
    </w:rPr>
  </w:style>
  <w:style w:type="paragraph" w:styleId="Heading6">
    <w:name w:val="heading 6"/>
    <w:basedOn w:val="Normal"/>
    <w:next w:val="Normal"/>
    <w:link w:val="Heading6Char"/>
    <w:uiPriority w:val="9"/>
    <w:qFormat/>
    <w:pPr>
      <w:keepNext/>
      <w:keepLines/>
      <w:spacing w:before="200" w:after="0"/>
      <w:outlineLvl w:val="5"/>
    </w:pPr>
    <w:rPr>
      <w:rFonts w:ascii="Calibri" w:eastAsia="MS Gothic" w:hAnsi="Calibri"/>
      <w:i/>
      <w:iCs/>
      <w:color w:val="243F60"/>
    </w:rPr>
  </w:style>
  <w:style w:type="paragraph" w:styleId="Heading7">
    <w:name w:val="heading 7"/>
    <w:basedOn w:val="Normal"/>
    <w:next w:val="Normal"/>
    <w:link w:val="Heading7Char"/>
    <w:uiPriority w:val="9"/>
    <w:qFormat/>
    <w:pPr>
      <w:keepNext/>
      <w:keepLines/>
      <w:spacing w:before="200" w:after="0"/>
      <w:outlineLvl w:val="6"/>
    </w:pPr>
    <w:rPr>
      <w:rFonts w:ascii="Calibri" w:eastAsia="MS Gothic" w:hAnsi="Calibri"/>
      <w:i/>
      <w:iCs/>
      <w:color w:val="404040"/>
    </w:rPr>
  </w:style>
  <w:style w:type="paragraph" w:styleId="Heading8">
    <w:name w:val="heading 8"/>
    <w:basedOn w:val="Normal"/>
    <w:next w:val="Normal"/>
    <w:link w:val="Heading8Char"/>
    <w:uiPriority w:val="9"/>
    <w:qFormat/>
    <w:pPr>
      <w:keepNext/>
      <w:keepLines/>
      <w:spacing w:before="200" w:after="0"/>
      <w:outlineLvl w:val="7"/>
    </w:pPr>
    <w:rPr>
      <w:rFonts w:ascii="Calibri" w:eastAsia="MS Gothic" w:hAnsi="Calibri"/>
      <w:color w:val="4F81BD"/>
      <w:sz w:val="20"/>
      <w:szCs w:val="20"/>
    </w:rPr>
  </w:style>
  <w:style w:type="paragraph" w:styleId="Heading9">
    <w:name w:val="heading 9"/>
    <w:basedOn w:val="Normal"/>
    <w:next w:val="Normal"/>
    <w:link w:val="Heading9Char"/>
    <w:uiPriority w:val="9"/>
    <w:qFormat/>
    <w:pPr>
      <w:keepNext/>
      <w:keepLines/>
      <w:spacing w:before="200" w:after="0"/>
      <w:outlineLvl w:val="8"/>
    </w:pPr>
    <w:rPr>
      <w:rFonts w:ascii="Calibri" w:eastAsia="MS Gothic" w:hAnsi="Calibri"/>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680"/>
        <w:tab w:val="right" w:pos="9360"/>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paragraph" w:styleId="NoSpacing">
    <w:name w:val="No Spacing"/>
    <w:uiPriority w:val="1"/>
    <w:qFormat/>
    <w:pPr>
      <w:spacing w:after="0" w:line="240" w:lineRule="auto"/>
    </w:pPr>
  </w:style>
  <w:style w:type="character" w:customStyle="1" w:styleId="Heading1Char">
    <w:name w:val="Heading 1 Char"/>
    <w:basedOn w:val="DefaultParagraphFont"/>
    <w:link w:val="Heading1"/>
    <w:uiPriority w:val="9"/>
    <w:rPr>
      <w:rFonts w:ascii="Calibri" w:eastAsia="MS Gothic" w:hAnsi="Calibri" w:cs="SimSun"/>
      <w:b/>
      <w:bCs/>
      <w:color w:val="365F91"/>
      <w:sz w:val="28"/>
      <w:szCs w:val="28"/>
    </w:rPr>
  </w:style>
  <w:style w:type="character" w:customStyle="1" w:styleId="Heading2Char">
    <w:name w:val="Heading 2 Char"/>
    <w:basedOn w:val="DefaultParagraphFont"/>
    <w:link w:val="Heading2"/>
    <w:uiPriority w:val="9"/>
    <w:rPr>
      <w:rFonts w:ascii="Calibri" w:eastAsia="MS Gothic" w:hAnsi="Calibri" w:cs="SimSun"/>
      <w:b/>
      <w:bCs/>
      <w:color w:val="4F81BD"/>
      <w:sz w:val="26"/>
      <w:szCs w:val="26"/>
    </w:rPr>
  </w:style>
  <w:style w:type="character" w:customStyle="1" w:styleId="Heading3Char">
    <w:name w:val="Heading 3 Char"/>
    <w:basedOn w:val="DefaultParagraphFont"/>
    <w:link w:val="Heading3"/>
    <w:uiPriority w:val="9"/>
    <w:rPr>
      <w:rFonts w:ascii="Calibri" w:eastAsia="MS Gothic" w:hAnsi="Calibri" w:cs="SimSun"/>
      <w:b/>
      <w:bCs/>
      <w:color w:val="4F81BD"/>
    </w:rPr>
  </w:style>
  <w:style w:type="paragraph" w:styleId="Title">
    <w:name w:val="Title"/>
    <w:basedOn w:val="Normal"/>
    <w:next w:val="Normal"/>
    <w:link w:val="TitleChar"/>
    <w:uiPriority w:val="10"/>
    <w:qFormat/>
    <w:pPr>
      <w:pBdr>
        <w:bottom w:val="single" w:sz="8" w:space="4" w:color="4F81BD"/>
      </w:pBdr>
      <w:spacing w:after="300" w:line="240" w:lineRule="auto"/>
      <w:contextualSpacing/>
    </w:pPr>
    <w:rPr>
      <w:rFonts w:ascii="Calibri" w:eastAsia="MS Gothic" w:hAnsi="Calibri"/>
      <w:color w:val="17365D"/>
      <w:spacing w:val="5"/>
      <w:kern w:val="28"/>
      <w:sz w:val="52"/>
      <w:szCs w:val="52"/>
    </w:rPr>
  </w:style>
  <w:style w:type="character" w:customStyle="1" w:styleId="TitleChar">
    <w:name w:val="Title Char"/>
    <w:basedOn w:val="DefaultParagraphFont"/>
    <w:link w:val="Title"/>
    <w:uiPriority w:val="10"/>
    <w:rPr>
      <w:rFonts w:ascii="Calibri" w:eastAsia="MS Gothic" w:hAnsi="Calibri" w:cs="SimSun"/>
      <w:color w:val="17365D"/>
      <w:spacing w:val="5"/>
      <w:kern w:val="28"/>
      <w:sz w:val="52"/>
      <w:szCs w:val="52"/>
    </w:rPr>
  </w:style>
  <w:style w:type="paragraph" w:styleId="Subtitle">
    <w:name w:val="Subtitle"/>
    <w:basedOn w:val="Normal"/>
    <w:next w:val="Normal"/>
    <w:link w:val="SubtitleChar"/>
    <w:uiPriority w:val="11"/>
    <w:qFormat/>
    <w:pPr>
      <w:numPr>
        <w:ilvl w:val="1"/>
      </w:numPr>
    </w:pPr>
    <w:rPr>
      <w:rFonts w:ascii="Calibri" w:eastAsia="MS Gothic" w:hAnsi="Calibri"/>
      <w:i/>
      <w:iCs/>
      <w:color w:val="4F81BD"/>
      <w:spacing w:val="15"/>
      <w:sz w:val="24"/>
      <w:szCs w:val="24"/>
    </w:rPr>
  </w:style>
  <w:style w:type="character" w:customStyle="1" w:styleId="SubtitleChar">
    <w:name w:val="Subtitle Char"/>
    <w:basedOn w:val="DefaultParagraphFont"/>
    <w:link w:val="Subtitle"/>
    <w:uiPriority w:val="11"/>
    <w:rPr>
      <w:rFonts w:ascii="Calibri" w:eastAsia="MS Gothic" w:hAnsi="Calibri" w:cs="SimSun"/>
      <w:i/>
      <w:iCs/>
      <w:color w:val="4F81BD"/>
      <w:spacing w:val="15"/>
      <w:sz w:val="24"/>
      <w:szCs w:val="24"/>
    </w:rPr>
  </w:style>
  <w:style w:type="paragraph" w:styleId="ListParagraph">
    <w:name w:val="List Paragraph"/>
    <w:basedOn w:val="Normal"/>
    <w:uiPriority w:val="34"/>
    <w:qFormat/>
    <w:pPr>
      <w:ind w:left="720"/>
      <w:contextualSpacing/>
    </w:pPr>
  </w:style>
  <w:style w:type="paragraph" w:styleId="BodyText">
    <w:name w:val="Body Text"/>
    <w:basedOn w:val="Normal"/>
    <w:link w:val="BodyTextChar"/>
    <w:uiPriority w:val="99"/>
    <w:pPr>
      <w:spacing w:after="120"/>
    </w:pPr>
  </w:style>
  <w:style w:type="character" w:customStyle="1" w:styleId="BodyTextChar">
    <w:name w:val="Body Text Char"/>
    <w:basedOn w:val="DefaultParagraphFont"/>
    <w:link w:val="BodyText"/>
    <w:uiPriority w:val="99"/>
  </w:style>
  <w:style w:type="paragraph" w:styleId="BodyText2">
    <w:name w:val="Body Text 2"/>
    <w:basedOn w:val="Normal"/>
    <w:link w:val="BodyText2Char"/>
    <w:uiPriority w:val="99"/>
    <w:pPr>
      <w:spacing w:after="120" w:line="480" w:lineRule="auto"/>
    </w:pPr>
  </w:style>
  <w:style w:type="character" w:customStyle="1" w:styleId="BodyText2Char">
    <w:name w:val="Body Text 2 Char"/>
    <w:basedOn w:val="DefaultParagraphFont"/>
    <w:link w:val="BodyText2"/>
    <w:uiPriority w:val="99"/>
  </w:style>
  <w:style w:type="paragraph" w:styleId="BodyText3">
    <w:name w:val="Body Text 3"/>
    <w:basedOn w:val="Normal"/>
    <w:link w:val="BodyText3Char"/>
    <w:uiPriority w:val="99"/>
    <w:pPr>
      <w:spacing w:after="120"/>
    </w:pPr>
    <w:rPr>
      <w:sz w:val="16"/>
      <w:szCs w:val="16"/>
    </w:rPr>
  </w:style>
  <w:style w:type="character" w:customStyle="1" w:styleId="BodyText3Char">
    <w:name w:val="Body Text 3 Char"/>
    <w:basedOn w:val="DefaultParagraphFont"/>
    <w:link w:val="BodyText3"/>
    <w:uiPriority w:val="99"/>
    <w:rPr>
      <w:sz w:val="16"/>
      <w:szCs w:val="16"/>
    </w:rPr>
  </w:style>
  <w:style w:type="paragraph" w:styleId="List">
    <w:name w:val="List"/>
    <w:basedOn w:val="Normal"/>
    <w:uiPriority w:val="99"/>
    <w:pPr>
      <w:ind w:left="360" w:hanging="360"/>
      <w:contextualSpacing/>
    </w:pPr>
  </w:style>
  <w:style w:type="paragraph" w:styleId="List2">
    <w:name w:val="List 2"/>
    <w:basedOn w:val="Normal"/>
    <w:uiPriority w:val="99"/>
    <w:pPr>
      <w:ind w:left="720" w:hanging="360"/>
      <w:contextualSpacing/>
    </w:pPr>
  </w:style>
  <w:style w:type="paragraph" w:styleId="List3">
    <w:name w:val="List 3"/>
    <w:basedOn w:val="Normal"/>
    <w:uiPriority w:val="99"/>
    <w:pPr>
      <w:ind w:left="1080" w:hanging="360"/>
      <w:contextualSpacing/>
    </w:pPr>
  </w:style>
  <w:style w:type="paragraph" w:styleId="ListBullet">
    <w:name w:val="List Bullet"/>
    <w:basedOn w:val="Normal"/>
    <w:uiPriority w:val="99"/>
    <w:pPr>
      <w:numPr>
        <w:numId w:val="1"/>
      </w:numPr>
      <w:contextualSpacing/>
    </w:pPr>
  </w:style>
  <w:style w:type="paragraph" w:styleId="ListBullet2">
    <w:name w:val="List Bullet 2"/>
    <w:basedOn w:val="Normal"/>
    <w:uiPriority w:val="99"/>
    <w:pPr>
      <w:numPr>
        <w:numId w:val="2"/>
      </w:numPr>
      <w:contextualSpacing/>
    </w:pPr>
  </w:style>
  <w:style w:type="paragraph" w:styleId="ListBullet3">
    <w:name w:val="List Bullet 3"/>
    <w:basedOn w:val="Normal"/>
    <w:uiPriority w:val="99"/>
    <w:pPr>
      <w:numPr>
        <w:numId w:val="3"/>
      </w:numPr>
      <w:contextualSpacing/>
    </w:pPr>
  </w:style>
  <w:style w:type="paragraph" w:styleId="ListNumber">
    <w:name w:val="List Number"/>
    <w:basedOn w:val="Normal"/>
    <w:uiPriority w:val="99"/>
    <w:pPr>
      <w:numPr>
        <w:numId w:val="4"/>
      </w:numPr>
      <w:contextualSpacing/>
    </w:pPr>
  </w:style>
  <w:style w:type="paragraph" w:styleId="ListNumber2">
    <w:name w:val="List Number 2"/>
    <w:basedOn w:val="Normal"/>
    <w:uiPriority w:val="99"/>
    <w:pPr>
      <w:numPr>
        <w:numId w:val="5"/>
      </w:numPr>
      <w:contextualSpacing/>
    </w:pPr>
  </w:style>
  <w:style w:type="paragraph" w:styleId="ListNumber3">
    <w:name w:val="List Number 3"/>
    <w:basedOn w:val="Normal"/>
    <w:uiPriority w:val="99"/>
    <w:pPr>
      <w:numPr>
        <w:numId w:val="6"/>
      </w:numPr>
      <w:contextualSpacing/>
    </w:pPr>
  </w:style>
  <w:style w:type="paragraph" w:styleId="ListContinue">
    <w:name w:val="List Continue"/>
    <w:basedOn w:val="Normal"/>
    <w:uiPriority w:val="99"/>
    <w:pPr>
      <w:spacing w:after="120"/>
      <w:ind w:left="360"/>
      <w:contextualSpacing/>
    </w:pPr>
  </w:style>
  <w:style w:type="paragraph" w:styleId="ListContinue2">
    <w:name w:val="List Continue 2"/>
    <w:basedOn w:val="Normal"/>
    <w:uiPriority w:val="99"/>
    <w:pPr>
      <w:spacing w:after="120"/>
      <w:ind w:left="720"/>
      <w:contextualSpacing/>
    </w:pPr>
  </w:style>
  <w:style w:type="paragraph" w:styleId="ListContinue3">
    <w:name w:val="List Continue 3"/>
    <w:basedOn w:val="Normal"/>
    <w:uiPriority w:val="99"/>
    <w:pPr>
      <w:spacing w:after="120"/>
      <w:ind w:left="1080"/>
      <w:contextualSpacing/>
    </w:pPr>
  </w:style>
  <w:style w:type="paragraph" w:styleId="MacroText">
    <w:name w:val="macro"/>
    <w:link w:val="MacroTextChar"/>
    <w:uiPriority w:val="99"/>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Pr>
      <w:rFonts w:ascii="Courier" w:hAnsi="Courier"/>
      <w:sz w:val="20"/>
      <w:szCs w:val="20"/>
    </w:rPr>
  </w:style>
  <w:style w:type="paragraph" w:styleId="Quote">
    <w:name w:val="Quote"/>
    <w:basedOn w:val="Normal"/>
    <w:next w:val="Normal"/>
    <w:link w:val="QuoteChar"/>
    <w:uiPriority w:val="29"/>
    <w:qFormat/>
    <w:rPr>
      <w:i/>
      <w:iCs/>
      <w:color w:val="000000"/>
    </w:rPr>
  </w:style>
  <w:style w:type="character" w:customStyle="1" w:styleId="QuoteChar">
    <w:name w:val="Quote Char"/>
    <w:basedOn w:val="DefaultParagraphFont"/>
    <w:link w:val="Quote"/>
    <w:uiPriority w:val="29"/>
    <w:rPr>
      <w:i/>
      <w:iCs/>
      <w:color w:val="000000"/>
    </w:rPr>
  </w:style>
  <w:style w:type="character" w:customStyle="1" w:styleId="Heading4Char">
    <w:name w:val="Heading 4 Char"/>
    <w:basedOn w:val="DefaultParagraphFont"/>
    <w:link w:val="Heading4"/>
    <w:uiPriority w:val="9"/>
    <w:rPr>
      <w:rFonts w:ascii="Calibri" w:eastAsia="MS Gothic" w:hAnsi="Calibri" w:cs="SimSun"/>
      <w:b/>
      <w:bCs/>
      <w:i/>
      <w:iCs/>
      <w:color w:val="4F81BD"/>
    </w:rPr>
  </w:style>
  <w:style w:type="character" w:customStyle="1" w:styleId="Heading5Char">
    <w:name w:val="Heading 5 Char"/>
    <w:basedOn w:val="DefaultParagraphFont"/>
    <w:link w:val="Heading5"/>
    <w:uiPriority w:val="9"/>
    <w:rPr>
      <w:rFonts w:ascii="Calibri" w:eastAsia="MS Gothic" w:hAnsi="Calibri" w:cs="SimSun"/>
      <w:color w:val="243F60"/>
    </w:rPr>
  </w:style>
  <w:style w:type="character" w:customStyle="1" w:styleId="Heading6Char">
    <w:name w:val="Heading 6 Char"/>
    <w:basedOn w:val="DefaultParagraphFont"/>
    <w:link w:val="Heading6"/>
    <w:uiPriority w:val="9"/>
    <w:rPr>
      <w:rFonts w:ascii="Calibri" w:eastAsia="MS Gothic" w:hAnsi="Calibri" w:cs="SimSun"/>
      <w:i/>
      <w:iCs/>
      <w:color w:val="243F60"/>
    </w:rPr>
  </w:style>
  <w:style w:type="character" w:customStyle="1" w:styleId="Heading7Char">
    <w:name w:val="Heading 7 Char"/>
    <w:basedOn w:val="DefaultParagraphFont"/>
    <w:link w:val="Heading7"/>
    <w:uiPriority w:val="9"/>
    <w:rPr>
      <w:rFonts w:ascii="Calibri" w:eastAsia="MS Gothic" w:hAnsi="Calibri" w:cs="SimSun"/>
      <w:i/>
      <w:iCs/>
      <w:color w:val="404040"/>
    </w:rPr>
  </w:style>
  <w:style w:type="character" w:customStyle="1" w:styleId="Heading8Char">
    <w:name w:val="Heading 8 Char"/>
    <w:basedOn w:val="DefaultParagraphFont"/>
    <w:link w:val="Heading8"/>
    <w:uiPriority w:val="9"/>
    <w:rPr>
      <w:rFonts w:ascii="Calibri" w:eastAsia="MS Gothic" w:hAnsi="Calibri" w:cs="SimSun"/>
      <w:color w:val="4F81BD"/>
      <w:sz w:val="20"/>
      <w:szCs w:val="20"/>
    </w:rPr>
  </w:style>
  <w:style w:type="character" w:customStyle="1" w:styleId="Heading9Char">
    <w:name w:val="Heading 9 Char"/>
    <w:basedOn w:val="DefaultParagraphFont"/>
    <w:link w:val="Heading9"/>
    <w:uiPriority w:val="9"/>
    <w:rPr>
      <w:rFonts w:ascii="Calibri" w:eastAsia="MS Gothic" w:hAnsi="Calibri" w:cs="SimSun"/>
      <w:i/>
      <w:iCs/>
      <w:color w:val="404040"/>
      <w:sz w:val="20"/>
      <w:szCs w:val="20"/>
    </w:rPr>
  </w:style>
  <w:style w:type="paragraph" w:styleId="Caption">
    <w:name w:val="caption"/>
    <w:basedOn w:val="Normal"/>
    <w:next w:val="Normal"/>
    <w:uiPriority w:val="35"/>
    <w:qFormat/>
    <w:pPr>
      <w:spacing w:line="240" w:lineRule="auto"/>
    </w:pPr>
    <w:rPr>
      <w:b/>
      <w:bCs/>
      <w:color w:val="4F81BD"/>
      <w:sz w:val="18"/>
      <w:szCs w:val="18"/>
    </w:rPr>
  </w:style>
  <w:style w:type="character" w:styleId="Strong">
    <w:name w:val="Strong"/>
    <w:basedOn w:val="DefaultParagraphFont"/>
    <w:uiPriority w:val="22"/>
    <w:qFormat/>
    <w:rPr>
      <w:b/>
      <w:bCs/>
    </w:rPr>
  </w:style>
  <w:style w:type="character" w:styleId="Emphasis">
    <w:name w:val="Emphasis"/>
    <w:basedOn w:val="DefaultParagraphFont"/>
    <w:uiPriority w:val="20"/>
    <w:qFormat/>
    <w:rPr>
      <w:i/>
      <w:iCs/>
    </w:rPr>
  </w:style>
  <w:style w:type="paragraph" w:styleId="IntenseQuote">
    <w:name w:val="Intense Quote"/>
    <w:basedOn w:val="Normal"/>
    <w:next w:val="Normal"/>
    <w:link w:val="IntenseQuoteChar"/>
    <w:uiPriority w:val="30"/>
    <w:qFormat/>
    <w:pPr>
      <w:pBdr>
        <w:bottom w:val="single" w:sz="4" w:space="4" w:color="4F81BD"/>
      </w:pBdr>
      <w:spacing w:before="200" w:after="280"/>
      <w:ind w:left="936" w:right="936"/>
    </w:pPr>
    <w:rPr>
      <w:b/>
      <w:bCs/>
      <w:i/>
      <w:iCs/>
      <w:color w:val="4F81BD"/>
    </w:rPr>
  </w:style>
  <w:style w:type="character" w:customStyle="1" w:styleId="IntenseQuoteChar">
    <w:name w:val="Intense Quote Char"/>
    <w:basedOn w:val="DefaultParagraphFont"/>
    <w:link w:val="IntenseQuote"/>
    <w:uiPriority w:val="30"/>
    <w:rPr>
      <w:b/>
      <w:bCs/>
      <w:i/>
      <w:iCs/>
      <w:color w:val="4F81BD"/>
    </w:rPr>
  </w:style>
  <w:style w:type="character" w:styleId="SubtleEmphasis">
    <w:name w:val="Subtle Emphasis"/>
    <w:basedOn w:val="DefaultParagraphFont"/>
    <w:uiPriority w:val="19"/>
    <w:qFormat/>
    <w:rPr>
      <w:i/>
      <w:iCs/>
      <w:color w:val="808080"/>
    </w:rPr>
  </w:style>
  <w:style w:type="character" w:styleId="IntenseEmphasis">
    <w:name w:val="Intense Emphasis"/>
    <w:basedOn w:val="DefaultParagraphFont"/>
    <w:uiPriority w:val="21"/>
    <w:qFormat/>
    <w:rPr>
      <w:b/>
      <w:bCs/>
      <w:i/>
      <w:iCs/>
      <w:color w:val="4F81BD"/>
    </w:rPr>
  </w:style>
  <w:style w:type="character" w:styleId="SubtleReference">
    <w:name w:val="Subtle Reference"/>
    <w:basedOn w:val="DefaultParagraphFont"/>
    <w:uiPriority w:val="31"/>
    <w:qFormat/>
    <w:rPr>
      <w:smallCaps/>
      <w:color w:val="C0504D"/>
      <w:u w:val="single"/>
    </w:rPr>
  </w:style>
  <w:style w:type="character" w:styleId="IntenseReference">
    <w:name w:val="Intense Reference"/>
    <w:basedOn w:val="DefaultParagraphFont"/>
    <w:uiPriority w:val="32"/>
    <w:qFormat/>
    <w:rPr>
      <w:b/>
      <w:bCs/>
      <w:smallCaps/>
      <w:color w:val="C0504D"/>
      <w:spacing w:val="5"/>
      <w:u w:val="single"/>
    </w:rPr>
  </w:style>
  <w:style w:type="character" w:styleId="BookTitle">
    <w:name w:val="Book Title"/>
    <w:basedOn w:val="DefaultParagraphFont"/>
    <w:uiPriority w:val="33"/>
    <w:qFormat/>
    <w:rPr>
      <w:b/>
      <w:bCs/>
      <w:smallCaps/>
      <w:spacing w:val="5"/>
    </w:rPr>
  </w:style>
  <w:style w:type="paragraph" w:styleId="TOCHeading">
    <w:name w:val="TOC Heading"/>
    <w:basedOn w:val="Heading1"/>
    <w:next w:val="Normal"/>
    <w:uiPriority w:val="39"/>
    <w:qFormat/>
    <w:pPr>
      <w:outlineLvl w:val="9"/>
    </w:pPr>
  </w:style>
  <w:style w:type="table" w:styleId="TableGrid">
    <w:name w:val="Table Grid"/>
    <w:basedOn w:val="TableNormal"/>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pPr>
      <w:spacing w:after="0" w:line="240" w:lineRule="auto"/>
    </w:pPr>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pPr>
      <w:spacing w:after="0" w:line="240" w:lineRule="auto"/>
    </w:pPr>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pPr>
      <w:spacing w:after="0" w:line="240" w:lineRule="auto"/>
    </w:pPr>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pPr>
      <w:spacing w:after="0" w:line="240" w:lineRule="auto"/>
    </w:pPr>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pPr>
      <w:spacing w:after="0" w:line="240" w:lineRule="auto"/>
    </w:pPr>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pPr>
      <w:spacing w:after="0" w:line="240" w:lineRule="auto"/>
    </w:pPr>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pPr>
      <w:spacing w:after="0" w:line="240" w:lineRule="auto"/>
    </w:pPr>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LightList">
    <w:name w:val="Light List"/>
    <w:basedOn w:val="TableNormal"/>
    <w:uiPriority w:val="61"/>
    <w:pPr>
      <w:spacing w:after="0" w:line="240" w:lineRule="auto"/>
    </w:p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pPr>
      <w:spacing w:after="0" w:line="240" w:lineRule="auto"/>
    </w:p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pPr>
      <w:spacing w:after="0" w:line="240" w:lineRule="auto"/>
    </w:p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pPr>
      <w:spacing w:after="0" w:line="240" w:lineRule="auto"/>
    </w:p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pPr>
      <w:spacing w:after="0" w:line="240" w:lineRule="auto"/>
    </w:p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pPr>
      <w:spacing w:after="0" w:line="240" w:lineRule="auto"/>
    </w:p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pPr>
      <w:spacing w:after="0" w:line="240" w:lineRule="auto"/>
    </w:p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Grid">
    <w:name w:val="Light Grid"/>
    <w:basedOn w:val="TableNormal"/>
    <w:uiPriority w:val="62"/>
    <w:pPr>
      <w:spacing w:after="0" w:line="240" w:lineRule="auto"/>
    </w:p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w:eastAsia="MS Gothic" w:hAnsi="Calibri" w:cs="SimSu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w:eastAsia="MS Gothic" w:hAnsi="Calibri" w:cs="SimSu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w:eastAsia="MS Gothic" w:hAnsi="Calibri" w:cs="SimSun"/>
        <w:b/>
        <w:bCs/>
      </w:rPr>
    </w:tblStylePr>
    <w:tblStylePr w:type="lastCol">
      <w:rPr>
        <w:rFonts w:ascii="Calibri" w:eastAsia="MS Gothic" w:hAnsi="Calibri" w:cs="SimSu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pPr>
      <w:spacing w:after="0" w:line="240" w:lineRule="auto"/>
    </w:p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libri" w:eastAsia="MS Gothic" w:hAnsi="Calibri" w:cs="SimSu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libri" w:eastAsia="MS Gothic" w:hAnsi="Calibri" w:cs="SimSu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libri" w:eastAsia="MS Gothic" w:hAnsi="Calibri" w:cs="SimSun"/>
        <w:b/>
        <w:bCs/>
      </w:rPr>
    </w:tblStylePr>
    <w:tblStylePr w:type="lastCol">
      <w:rPr>
        <w:rFonts w:ascii="Calibri" w:eastAsia="MS Gothic" w:hAnsi="Calibri" w:cs="SimSu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pPr>
      <w:spacing w:after="0" w:line="240" w:lineRule="auto"/>
    </w:p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libri" w:eastAsia="MS Gothic" w:hAnsi="Calibri" w:cs="SimSu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libri" w:eastAsia="MS Gothic" w:hAnsi="Calibri" w:cs="SimSu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libri" w:eastAsia="MS Gothic" w:hAnsi="Calibri" w:cs="SimSun"/>
        <w:b/>
        <w:bCs/>
      </w:rPr>
    </w:tblStylePr>
    <w:tblStylePr w:type="lastCol">
      <w:rPr>
        <w:rFonts w:ascii="Calibri" w:eastAsia="MS Gothic" w:hAnsi="Calibri" w:cs="SimSu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pPr>
      <w:spacing w:after="0" w:line="240" w:lineRule="auto"/>
    </w:p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libri" w:eastAsia="MS Gothic" w:hAnsi="Calibri" w:cs="SimSu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libri" w:eastAsia="MS Gothic" w:hAnsi="Calibri" w:cs="SimSu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libri" w:eastAsia="MS Gothic" w:hAnsi="Calibri" w:cs="SimSun"/>
        <w:b/>
        <w:bCs/>
      </w:rPr>
    </w:tblStylePr>
    <w:tblStylePr w:type="lastCol">
      <w:rPr>
        <w:rFonts w:ascii="Calibri" w:eastAsia="MS Gothic" w:hAnsi="Calibri" w:cs="SimSu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pPr>
      <w:spacing w:after="0" w:line="240" w:lineRule="auto"/>
    </w:p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libri" w:eastAsia="MS Gothic" w:hAnsi="Calibri" w:cs="SimSu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libri" w:eastAsia="MS Gothic" w:hAnsi="Calibri" w:cs="SimSu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libri" w:eastAsia="MS Gothic" w:hAnsi="Calibri" w:cs="SimSun"/>
        <w:b/>
        <w:bCs/>
      </w:rPr>
    </w:tblStylePr>
    <w:tblStylePr w:type="lastCol">
      <w:rPr>
        <w:rFonts w:ascii="Calibri" w:eastAsia="MS Gothic" w:hAnsi="Calibri" w:cs="SimSu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pPr>
      <w:spacing w:after="0" w:line="240" w:lineRule="auto"/>
    </w:p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libri" w:eastAsia="MS Gothic" w:hAnsi="Calibri" w:cs="SimSu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libri" w:eastAsia="MS Gothic" w:hAnsi="Calibri" w:cs="SimSu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libri" w:eastAsia="MS Gothic" w:hAnsi="Calibri" w:cs="SimSun"/>
        <w:b/>
        <w:bCs/>
      </w:rPr>
    </w:tblStylePr>
    <w:tblStylePr w:type="lastCol">
      <w:rPr>
        <w:rFonts w:ascii="Calibri" w:eastAsia="MS Gothic" w:hAnsi="Calibri" w:cs="SimSu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pPr>
      <w:spacing w:after="0" w:line="240" w:lineRule="auto"/>
    </w:p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libri" w:eastAsia="MS Gothic" w:hAnsi="Calibri" w:cs="SimSu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libri" w:eastAsia="MS Gothic" w:hAnsi="Calibri" w:cs="SimSu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libri" w:eastAsia="MS Gothic" w:hAnsi="Calibri" w:cs="SimSun"/>
        <w:b/>
        <w:bCs/>
      </w:rPr>
    </w:tblStylePr>
    <w:tblStylePr w:type="lastCol">
      <w:rPr>
        <w:rFonts w:ascii="Calibri" w:eastAsia="MS Gothic" w:hAnsi="Calibri" w:cs="SimSu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MediumShading1">
    <w:name w:val="Medium Shading 1"/>
    <w:basedOn w:val="TableNormal"/>
    <w:uiPriority w:val="63"/>
    <w:pPr>
      <w:spacing w:after="0" w:line="240" w:lineRule="auto"/>
    </w:p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pPr>
      <w:spacing w:after="0" w:line="240" w:lineRule="auto"/>
    </w:p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pPr>
      <w:spacing w:after="0" w:line="240" w:lineRule="auto"/>
    </w:p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pPr>
      <w:spacing w:after="0" w:line="240" w:lineRule="auto"/>
    </w:p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pPr>
      <w:spacing w:after="0" w:line="240" w:lineRule="auto"/>
    </w:p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pPr>
      <w:spacing w:after="0" w:line="240" w:lineRule="auto"/>
    </w:p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pPr>
      <w:spacing w:after="0" w:line="240" w:lineRule="auto"/>
    </w:p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pPr>
      <w:spacing w:after="0" w:line="240" w:lineRule="auto"/>
    </w:pPr>
    <w:rPr>
      <w:color w:val="000000"/>
    </w:rPr>
    <w:tblPr>
      <w:tblStyleRowBandSize w:val="1"/>
      <w:tblStyleColBandSize w:val="1"/>
      <w:tblBorders>
        <w:top w:val="single" w:sz="8" w:space="0" w:color="000000"/>
        <w:bottom w:val="single" w:sz="8" w:space="0" w:color="000000"/>
      </w:tblBorders>
    </w:tblPr>
    <w:tblStylePr w:type="firstRow">
      <w:rPr>
        <w:rFonts w:ascii="Calibri" w:eastAsia="MS Gothic" w:hAnsi="Calibri" w:cs="SimSu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pPr>
      <w:spacing w:after="0" w:line="240" w:lineRule="auto"/>
    </w:pPr>
    <w:rPr>
      <w:color w:val="000000"/>
    </w:rPr>
    <w:tblPr>
      <w:tblStyleRowBandSize w:val="1"/>
      <w:tblStyleColBandSize w:val="1"/>
      <w:tblBorders>
        <w:top w:val="single" w:sz="8" w:space="0" w:color="4F81BD"/>
        <w:bottom w:val="single" w:sz="8" w:space="0" w:color="4F81BD"/>
      </w:tblBorders>
    </w:tblPr>
    <w:tblStylePr w:type="firstRow">
      <w:rPr>
        <w:rFonts w:ascii="Calibri" w:eastAsia="MS Gothic" w:hAnsi="Calibri" w:cs="SimSu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pPr>
      <w:spacing w:after="0" w:line="240" w:lineRule="auto"/>
    </w:pPr>
    <w:rPr>
      <w:color w:val="000000"/>
    </w:rPr>
    <w:tblPr>
      <w:tblStyleRowBandSize w:val="1"/>
      <w:tblStyleColBandSize w:val="1"/>
      <w:tblBorders>
        <w:top w:val="single" w:sz="8" w:space="0" w:color="C0504D"/>
        <w:bottom w:val="single" w:sz="8" w:space="0" w:color="C0504D"/>
      </w:tblBorders>
    </w:tblPr>
    <w:tblStylePr w:type="firstRow">
      <w:rPr>
        <w:rFonts w:ascii="Calibri" w:eastAsia="MS Gothic" w:hAnsi="Calibri" w:cs="SimSu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pPr>
      <w:spacing w:after="0" w:line="240" w:lineRule="auto"/>
    </w:pPr>
    <w:rPr>
      <w:color w:val="000000"/>
    </w:rPr>
    <w:tblPr>
      <w:tblStyleRowBandSize w:val="1"/>
      <w:tblStyleColBandSize w:val="1"/>
      <w:tblBorders>
        <w:top w:val="single" w:sz="8" w:space="0" w:color="9BBB59"/>
        <w:bottom w:val="single" w:sz="8" w:space="0" w:color="9BBB59"/>
      </w:tblBorders>
    </w:tblPr>
    <w:tblStylePr w:type="firstRow">
      <w:rPr>
        <w:rFonts w:ascii="Calibri" w:eastAsia="MS Gothic" w:hAnsi="Calibri" w:cs="SimSu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pPr>
      <w:spacing w:after="0" w:line="240" w:lineRule="auto"/>
    </w:pPr>
    <w:rPr>
      <w:color w:val="000000"/>
    </w:rPr>
    <w:tblPr>
      <w:tblStyleRowBandSize w:val="1"/>
      <w:tblStyleColBandSize w:val="1"/>
      <w:tblBorders>
        <w:top w:val="single" w:sz="8" w:space="0" w:color="8064A2"/>
        <w:bottom w:val="single" w:sz="8" w:space="0" w:color="8064A2"/>
      </w:tblBorders>
    </w:tblPr>
    <w:tblStylePr w:type="firstRow">
      <w:rPr>
        <w:rFonts w:ascii="Calibri" w:eastAsia="MS Gothic" w:hAnsi="Calibri" w:cs="SimSu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pPr>
      <w:spacing w:after="0" w:line="240" w:lineRule="auto"/>
    </w:pPr>
    <w:rPr>
      <w:color w:val="000000"/>
    </w:rPr>
    <w:tblPr>
      <w:tblStyleRowBandSize w:val="1"/>
      <w:tblStyleColBandSize w:val="1"/>
      <w:tblBorders>
        <w:top w:val="single" w:sz="8" w:space="0" w:color="4BACC6"/>
        <w:bottom w:val="single" w:sz="8" w:space="0" w:color="4BACC6"/>
      </w:tblBorders>
    </w:tblPr>
    <w:tblStylePr w:type="firstRow">
      <w:rPr>
        <w:rFonts w:ascii="Calibri" w:eastAsia="MS Gothic" w:hAnsi="Calibri" w:cs="SimSu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pPr>
      <w:spacing w:after="0" w:line="240" w:lineRule="auto"/>
    </w:pPr>
    <w:rPr>
      <w:color w:val="000000"/>
    </w:rPr>
    <w:tblPr>
      <w:tblStyleRowBandSize w:val="1"/>
      <w:tblStyleColBandSize w:val="1"/>
      <w:tblBorders>
        <w:top w:val="single" w:sz="8" w:space="0" w:color="F79646"/>
        <w:bottom w:val="single" w:sz="8" w:space="0" w:color="F79646"/>
      </w:tblBorders>
    </w:tblPr>
    <w:tblStylePr w:type="firstRow">
      <w:rPr>
        <w:rFonts w:ascii="Calibri" w:eastAsia="MS Gothic" w:hAnsi="Calibri" w:cs="SimSu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pPr>
      <w:spacing w:after="0" w:line="240" w:lineRule="auto"/>
    </w:pPr>
    <w:rPr>
      <w:rFonts w:ascii="Calibri" w:eastAsia="MS Gothic" w:hAnsi="Calibri"/>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pPr>
      <w:spacing w:after="0" w:line="240" w:lineRule="auto"/>
    </w:pPr>
    <w:rPr>
      <w:rFonts w:ascii="Calibri" w:eastAsia="MS Gothic" w:hAnsi="Calibri"/>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pPr>
      <w:spacing w:after="0" w:line="240" w:lineRule="auto"/>
    </w:pPr>
    <w:rPr>
      <w:rFonts w:ascii="Calibri" w:eastAsia="MS Gothic" w:hAnsi="Calibri"/>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pPr>
      <w:spacing w:after="0" w:line="240" w:lineRule="auto"/>
    </w:pPr>
    <w:rPr>
      <w:rFonts w:ascii="Calibri" w:eastAsia="MS Gothic" w:hAnsi="Calibri"/>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pPr>
      <w:spacing w:after="0" w:line="240" w:lineRule="auto"/>
    </w:pPr>
    <w:rPr>
      <w:rFonts w:ascii="Calibri" w:eastAsia="MS Gothic" w:hAnsi="Calibri"/>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pPr>
      <w:spacing w:after="0" w:line="240" w:lineRule="auto"/>
    </w:pPr>
    <w:rPr>
      <w:rFonts w:ascii="Calibri" w:eastAsia="MS Gothic" w:hAnsi="Calibri"/>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pPr>
      <w:spacing w:after="0" w:line="240" w:lineRule="auto"/>
    </w:pPr>
    <w:rPr>
      <w:rFonts w:ascii="Calibri" w:eastAsia="MS Gothic" w:hAnsi="Calibri"/>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Grid1">
    <w:name w:val="Medium Grid 1"/>
    <w:basedOn w:val="TableNormal"/>
    <w:uiPriority w:val="67"/>
    <w:pPr>
      <w:spacing w:after="0" w:line="240" w:lineRule="auto"/>
    </w:p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shd w:val="clear" w:color="auto" w:fill="C0C0C0"/>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pPr>
      <w:spacing w:after="0" w:line="240" w:lineRule="auto"/>
    </w:p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shd w:val="clear" w:color="auto" w:fill="D3DFEE"/>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pPr>
      <w:spacing w:after="0" w:line="240" w:lineRule="auto"/>
    </w:p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shd w:val="clear" w:color="auto" w:fill="EFD3D2"/>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pPr>
      <w:spacing w:after="0" w:line="240" w:lineRule="auto"/>
    </w:p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shd w:val="clear" w:color="auto" w:fill="E6EED5"/>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pPr>
      <w:spacing w:after="0" w:line="240" w:lineRule="auto"/>
    </w:p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shd w:val="clear" w:color="auto" w:fill="DFD8E8"/>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pPr>
      <w:spacing w:after="0" w:line="240" w:lineRule="auto"/>
    </w:p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shd w:val="clear" w:color="auto" w:fill="D2EAF1"/>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pPr>
      <w:spacing w:after="0" w:line="240" w:lineRule="auto"/>
    </w:p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shd w:val="clear" w:color="auto" w:fill="FDE4D0"/>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pPr>
      <w:spacing w:after="0" w:line="240" w:lineRule="auto"/>
    </w:pPr>
    <w:rPr>
      <w:rFonts w:ascii="Calibri" w:eastAsia="MS Gothic" w:hAnsi="Calibri"/>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shd w:val="clear" w:color="auto" w:fill="C0C0C0"/>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pPr>
      <w:spacing w:after="0" w:line="240" w:lineRule="auto"/>
    </w:pPr>
    <w:rPr>
      <w:rFonts w:ascii="Calibri" w:eastAsia="MS Gothic" w:hAnsi="Calibri"/>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shd w:val="clear" w:color="auto" w:fill="D3DFEE"/>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pPr>
      <w:spacing w:after="0" w:line="240" w:lineRule="auto"/>
    </w:pPr>
    <w:rPr>
      <w:rFonts w:ascii="Calibri" w:eastAsia="MS Gothic" w:hAnsi="Calibri"/>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shd w:val="clear" w:color="auto" w:fill="EFD3D2"/>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pPr>
      <w:spacing w:after="0" w:line="240" w:lineRule="auto"/>
    </w:pPr>
    <w:rPr>
      <w:rFonts w:ascii="Calibri" w:eastAsia="MS Gothic" w:hAnsi="Calibri"/>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shd w:val="clear" w:color="auto" w:fill="E6EED5"/>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pPr>
      <w:spacing w:after="0" w:line="240" w:lineRule="auto"/>
    </w:pPr>
    <w:rPr>
      <w:rFonts w:ascii="Calibri" w:eastAsia="MS Gothic" w:hAnsi="Calibri"/>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shd w:val="clear" w:color="auto" w:fill="DFD8E8"/>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pPr>
      <w:spacing w:after="0" w:line="240" w:lineRule="auto"/>
    </w:pPr>
    <w:rPr>
      <w:rFonts w:ascii="Calibri" w:eastAsia="MS Gothic" w:hAnsi="Calibri"/>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shd w:val="clear" w:color="auto" w:fill="D2EAF1"/>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pPr>
      <w:spacing w:after="0" w:line="240" w:lineRule="auto"/>
    </w:pPr>
    <w:rPr>
      <w:rFonts w:ascii="Calibri" w:eastAsia="MS Gothic" w:hAnsi="Calibri"/>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shd w:val="clear" w:color="auto" w:fill="FDE4D0"/>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pPr>
      <w:spacing w:after="0" w:line="240" w:lineRule="auto"/>
    </w:p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shd w:val="clear" w:color="auto" w:fill="C0C0C0"/>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pPr>
      <w:spacing w:after="0" w:line="240" w:lineRule="auto"/>
    </w:p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shd w:val="clear" w:color="auto" w:fill="D3DFEE"/>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pPr>
      <w:spacing w:after="0" w:line="240" w:lineRule="auto"/>
    </w:p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shd w:val="clear" w:color="auto" w:fill="EFD3D2"/>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pPr>
      <w:spacing w:after="0" w:line="240" w:lineRule="auto"/>
    </w:p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shd w:val="clear" w:color="auto" w:fill="E6EED5"/>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pPr>
      <w:spacing w:after="0" w:line="240" w:lineRule="auto"/>
    </w:p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shd w:val="clear" w:color="auto" w:fill="DFD8E8"/>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pPr>
      <w:spacing w:after="0" w:line="240" w:lineRule="auto"/>
    </w:p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shd w:val="clear" w:color="auto" w:fill="D2EAF1"/>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pPr>
      <w:spacing w:after="0" w:line="240" w:lineRule="auto"/>
    </w:p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shd w:val="clear" w:color="auto" w:fill="FDE4D0"/>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DarkList">
    <w:name w:val="Dark List"/>
    <w:basedOn w:val="TableNormal"/>
    <w:uiPriority w:val="70"/>
    <w:pPr>
      <w:spacing w:after="0" w:line="240" w:lineRule="auto"/>
    </w:pPr>
    <w:rPr>
      <w:color w:val="FFFFFF"/>
    </w:rPr>
    <w:tblPr>
      <w:tblStyleRowBandSize w:val="1"/>
      <w:tblStyleColBandSize w:val="1"/>
      <w:shd w:val="clear" w:color="auto" w:fill="000000"/>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pPr>
      <w:spacing w:after="0" w:line="240" w:lineRule="auto"/>
    </w:pPr>
    <w:rPr>
      <w:color w:val="FFFFFF"/>
    </w:rPr>
    <w:tblPr>
      <w:tblStyleRowBandSize w:val="1"/>
      <w:tblStyleColBandSize w:val="1"/>
      <w:shd w:val="clear" w:color="auto" w:fill="4F81BD"/>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pPr>
      <w:spacing w:after="0" w:line="240" w:lineRule="auto"/>
    </w:pPr>
    <w:rPr>
      <w:color w:val="FFFFFF"/>
    </w:rPr>
    <w:tblPr>
      <w:tblStyleRowBandSize w:val="1"/>
      <w:tblStyleColBandSize w:val="1"/>
      <w:shd w:val="clear" w:color="auto" w:fill="C0504D"/>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pPr>
      <w:spacing w:after="0" w:line="240" w:lineRule="auto"/>
    </w:pPr>
    <w:rPr>
      <w:color w:val="FFFFFF"/>
    </w:rPr>
    <w:tblPr>
      <w:tblStyleRowBandSize w:val="1"/>
      <w:tblStyleColBandSize w:val="1"/>
      <w:shd w:val="clear" w:color="auto" w:fill="9BBB59"/>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pPr>
      <w:spacing w:after="0" w:line="240" w:lineRule="auto"/>
    </w:pPr>
    <w:rPr>
      <w:color w:val="FFFFFF"/>
    </w:rPr>
    <w:tblPr>
      <w:tblStyleRowBandSize w:val="1"/>
      <w:tblStyleColBandSize w:val="1"/>
      <w:shd w:val="clear" w:color="auto" w:fill="8064A2"/>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pPr>
      <w:spacing w:after="0" w:line="240" w:lineRule="auto"/>
    </w:pPr>
    <w:rPr>
      <w:color w:val="FFFFFF"/>
    </w:rPr>
    <w:tblPr>
      <w:tblStyleRowBandSize w:val="1"/>
      <w:tblStyleColBandSize w:val="1"/>
      <w:shd w:val="clear" w:color="auto" w:fill="4BACC6"/>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pPr>
      <w:spacing w:after="0" w:line="240" w:lineRule="auto"/>
    </w:pPr>
    <w:rPr>
      <w:color w:val="FFFFFF"/>
    </w:rPr>
    <w:tblPr>
      <w:tblStyleRowBandSize w:val="1"/>
      <w:tblStyleColBandSize w:val="1"/>
      <w:shd w:val="clear" w:color="auto" w:fill="F79646"/>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ColorfulShading">
    <w:name w:val="Colorful Shading"/>
    <w:basedOn w:val="TableNormal"/>
    <w:uiPriority w:val="71"/>
    <w:pPr>
      <w:spacing w:after="0" w:line="240" w:lineRule="auto"/>
    </w:pPr>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shd w:val="clear" w:color="auto" w:fill="E6E6E6"/>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pPr>
      <w:spacing w:after="0" w:line="240" w:lineRule="auto"/>
    </w:pPr>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shd w:val="clear" w:color="auto" w:fill="EDF2F8"/>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pPr>
      <w:spacing w:after="0" w:line="240" w:lineRule="auto"/>
    </w:pPr>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shd w:val="clear" w:color="auto" w:fill="F8EDED"/>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pPr>
      <w:spacing w:after="0" w:line="240" w:lineRule="auto"/>
    </w:pPr>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shd w:val="clear" w:color="auto" w:fill="F5F8EE"/>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pPr>
      <w:spacing w:after="0" w:line="240" w:lineRule="auto"/>
    </w:pPr>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shd w:val="clear" w:color="auto" w:fill="F2EFF6"/>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pPr>
      <w:spacing w:after="0" w:line="240" w:lineRule="auto"/>
    </w:pPr>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shd w:val="clear" w:color="auto" w:fill="EDF6F9"/>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pPr>
      <w:spacing w:after="0" w:line="240" w:lineRule="auto"/>
    </w:pPr>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shd w:val="clear" w:color="auto" w:fill="FEF4EC"/>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ColorfulList">
    <w:name w:val="Colorful List"/>
    <w:basedOn w:val="TableNormal"/>
    <w:uiPriority w:val="72"/>
    <w:pPr>
      <w:spacing w:after="0" w:line="240" w:lineRule="auto"/>
    </w:pPr>
    <w:rPr>
      <w:color w:val="000000"/>
    </w:rPr>
    <w:tblPr>
      <w:tblStyleRowBandSize w:val="1"/>
      <w:tblStyleColBandSize w:val="1"/>
      <w:shd w:val="clear" w:color="auto" w:fill="E6E6E6"/>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pPr>
      <w:spacing w:after="0" w:line="240" w:lineRule="auto"/>
    </w:pPr>
    <w:rPr>
      <w:color w:val="000000"/>
    </w:rPr>
    <w:tblPr>
      <w:tblStyleRowBandSize w:val="1"/>
      <w:tblStyleColBandSize w:val="1"/>
      <w:shd w:val="clear" w:color="auto" w:fill="EDF2F8"/>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pPr>
      <w:spacing w:after="0" w:line="240" w:lineRule="auto"/>
    </w:pPr>
    <w:rPr>
      <w:color w:val="000000"/>
    </w:rPr>
    <w:tblPr>
      <w:tblStyleRowBandSize w:val="1"/>
      <w:tblStyleColBandSize w:val="1"/>
      <w:shd w:val="clear" w:color="auto" w:fill="F8EDED"/>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pPr>
      <w:spacing w:after="0" w:line="240" w:lineRule="auto"/>
    </w:pPr>
    <w:rPr>
      <w:color w:val="000000"/>
    </w:rPr>
    <w:tblPr>
      <w:tblStyleRowBandSize w:val="1"/>
      <w:tblStyleColBandSize w:val="1"/>
      <w:shd w:val="clear" w:color="auto" w:fill="F5F8EE"/>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pPr>
      <w:spacing w:after="0" w:line="240" w:lineRule="auto"/>
    </w:pPr>
    <w:rPr>
      <w:color w:val="000000"/>
    </w:rPr>
    <w:tblPr>
      <w:tblStyleRowBandSize w:val="1"/>
      <w:tblStyleColBandSize w:val="1"/>
      <w:shd w:val="clear" w:color="auto" w:fill="F2EFF6"/>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pPr>
      <w:spacing w:after="0" w:line="240" w:lineRule="auto"/>
    </w:pPr>
    <w:rPr>
      <w:color w:val="000000"/>
    </w:rPr>
    <w:tblPr>
      <w:tblStyleRowBandSize w:val="1"/>
      <w:tblStyleColBandSize w:val="1"/>
      <w:shd w:val="clear" w:color="auto" w:fill="EDF6F9"/>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pPr>
      <w:spacing w:after="0" w:line="240" w:lineRule="auto"/>
    </w:pPr>
    <w:rPr>
      <w:color w:val="000000"/>
    </w:rPr>
    <w:tblPr>
      <w:tblStyleRowBandSize w:val="1"/>
      <w:tblStyleColBandSize w:val="1"/>
      <w:shd w:val="clear" w:color="auto" w:fill="FEF4EC"/>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Grid">
    <w:name w:val="Colorful Grid"/>
    <w:basedOn w:val="TableNormal"/>
    <w:uiPriority w:val="73"/>
    <w:pPr>
      <w:spacing w:after="0" w:line="240" w:lineRule="auto"/>
    </w:pPr>
    <w:rPr>
      <w:color w:val="000000"/>
    </w:rPr>
    <w:tblPr>
      <w:tblStyleRowBandSize w:val="1"/>
      <w:tblStyleColBandSize w:val="1"/>
      <w:tblBorders>
        <w:insideH w:val="single" w:sz="4" w:space="0" w:color="FFFFFF"/>
      </w:tblBorders>
      <w:shd w:val="clear" w:color="auto" w:fill="CCCCCC"/>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pPr>
      <w:spacing w:after="0" w:line="240" w:lineRule="auto"/>
    </w:pPr>
    <w:rPr>
      <w:color w:val="000000"/>
    </w:rPr>
    <w:tblPr>
      <w:tblStyleRowBandSize w:val="1"/>
      <w:tblStyleColBandSize w:val="1"/>
      <w:tblBorders>
        <w:insideH w:val="single" w:sz="4" w:space="0" w:color="FFFFFF"/>
      </w:tblBorders>
      <w:shd w:val="clear" w:color="auto" w:fill="DBE5F1"/>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pPr>
      <w:spacing w:after="0" w:line="240" w:lineRule="auto"/>
    </w:pPr>
    <w:rPr>
      <w:color w:val="000000"/>
    </w:rPr>
    <w:tblPr>
      <w:tblStyleRowBandSize w:val="1"/>
      <w:tblStyleColBandSize w:val="1"/>
      <w:tblBorders>
        <w:insideH w:val="single" w:sz="4" w:space="0" w:color="FFFFFF"/>
      </w:tblBorders>
      <w:shd w:val="clear" w:color="auto" w:fill="F2DBDB"/>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pPr>
      <w:spacing w:after="0" w:line="240" w:lineRule="auto"/>
    </w:pPr>
    <w:rPr>
      <w:color w:val="000000"/>
    </w:rPr>
    <w:tblPr>
      <w:tblStyleRowBandSize w:val="1"/>
      <w:tblStyleColBandSize w:val="1"/>
      <w:tblBorders>
        <w:insideH w:val="single" w:sz="4" w:space="0" w:color="FFFFFF"/>
      </w:tblBorders>
      <w:shd w:val="clear" w:color="auto" w:fill="EAF1DD"/>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pPr>
      <w:spacing w:after="0" w:line="240" w:lineRule="auto"/>
    </w:pPr>
    <w:rPr>
      <w:color w:val="000000"/>
    </w:rPr>
    <w:tblPr>
      <w:tblStyleRowBandSize w:val="1"/>
      <w:tblStyleColBandSize w:val="1"/>
      <w:tblBorders>
        <w:insideH w:val="single" w:sz="4" w:space="0" w:color="FFFFFF"/>
      </w:tblBorders>
      <w:shd w:val="clear" w:color="auto" w:fill="E5DFEC"/>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pPr>
      <w:spacing w:after="0" w:line="240" w:lineRule="auto"/>
    </w:pPr>
    <w:rPr>
      <w:color w:val="000000"/>
    </w:rPr>
    <w:tblPr>
      <w:tblStyleRowBandSize w:val="1"/>
      <w:tblStyleColBandSize w:val="1"/>
      <w:tblBorders>
        <w:insideH w:val="single" w:sz="4" w:space="0" w:color="FFFFFF"/>
      </w:tblBorders>
      <w:shd w:val="clear" w:color="auto" w:fill="DAEEF3"/>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pPr>
      <w:spacing w:after="0" w:line="240" w:lineRule="auto"/>
    </w:pPr>
    <w:rPr>
      <w:color w:val="000000"/>
    </w:rPr>
    <w:tblPr>
      <w:tblStyleRowBandSize w:val="1"/>
      <w:tblStyleColBandSize w:val="1"/>
      <w:tblBorders>
        <w:insideH w:val="single" w:sz="4" w:space="0" w:color="FFFFFF"/>
      </w:tblBorders>
      <w:shd w:val="clear" w:color="auto" w:fill="FDE9D9"/>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paragraph" w:styleId="NormalWeb">
    <w:name w:val="Normal (Web)"/>
    <w:basedOn w:val="Normal"/>
    <w:uiPriority w:val="99"/>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doi.org/10.1186/s41239-019-0171-0"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D188B2-63B3-44A5-BF9F-92F7608C07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173</TotalTime>
  <Pages>11</Pages>
  <Words>3559</Words>
  <Characters>20292</Characters>
  <Application>Microsoft Office Word</Application>
  <DocSecurity>0</DocSecurity>
  <Lines>169</Lines>
  <Paragraphs>47</Paragraphs>
  <ScaleCrop>false</ScaleCrop>
  <Company/>
  <LinksUpToDate>false</LinksUpToDate>
  <CharactersWithSpaces>23804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python-docx</dc:creator>
  <dc:description>generated by python-docx</dc:description>
  <cp:lastModifiedBy>Microsoft account</cp:lastModifiedBy>
  <cp:revision>18</cp:revision>
  <dcterms:created xsi:type="dcterms:W3CDTF">2025-11-14T17:14:00Z</dcterms:created>
  <dcterms:modified xsi:type="dcterms:W3CDTF">2026-08-21T10:39:00Z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bd08110cb83a41c6aaa83b24cdfe6233</vt:lpwstr>
  </property>
</Properties>
</file>